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Normal"/>
        <w:jc w:val="center"/>
        <w:rPr>
          <w:b/>
          <w:sz w:val="28"/>
        </w:rPr>
      </w:pPr>
      <w:r>
        <w:rPr>
          <w:b/>
          <w:sz w:val="28"/>
        </w:rPr>
        <w:t>Experience in Other Deregulated U.S. Industries</w:t>
      </w:r>
    </w:p>
    <w:p>
      <w:pPr>
        <w:pStyle w:val="BodyText"/>
        <w:rPr/>
      </w:pPr>
      <w:r>
        <w:rPr/>
        <w:tab/>
        <w:t>Formerly regulated industries in the U.S., including gas, oil, telecommunications, railroads, trucking, ocean shipping, and airlines have, as a general rule, been deregulated without the requirement that contract terms and conditions, previously  made public through the publication of formal tariffs, be publicly disclosed in more than skeletal and summary fashion.  Moreover, in those instances, where the relevant oversight agencies considered the risk/benefit question at issue here, the agencies determined that the risk to efficient competition from public disclosure of contracts outweighed the benefits.</w:t>
      </w:r>
    </w:p>
    <w:p>
      <w:pPr>
        <w:pStyle w:val="Heading2"/>
        <w:rPr/>
      </w:pPr>
      <w:r>
        <w:rPr/>
        <w:t>Gas</w:t>
      </w:r>
    </w:p>
    <w:p>
      <w:pPr>
        <w:pStyle w:val="BodyText"/>
        <w:rPr/>
      </w:pPr>
      <w:r>
        <w:rPr/>
        <w:tab/>
        <w:t>While the statutory requirements underlying the Commission's regulation of the gas and electricity industries differ in regard to the production of the commodity (wellhead gas versus wholesale electric generation), it is nonetheless useful to draw on the experience of the gas industry in assessing the merits of the proposed disclosure requirement.  Generally, the Commission has attempted to regulate both industries similarly, especially in regard to the transportation function.  Open access regulations in both industries are similar and appropriately so.  Likewise, the Commission may wish to consider how price transparency and information disclosure works for the gas commodity in assessing information requirements regarding wholesale electricity contracts.</w:t>
      </w:r>
    </w:p>
    <w:p>
      <w:pPr>
        <w:pStyle w:val="BodyText"/>
        <w:rPr/>
      </w:pPr>
      <w:r>
        <w:rPr/>
        <w:tab/>
        <w:t xml:space="preserve">Wellhead gas has been deregulated by Congress and so the Commission has no role in establishing information requirements in that market, of course.  Nonetheless, it is instructive to recognize that a substantial amount of information concerning the gas commodity is voluntarily made available.  Gas prices are transparent and reported daily at trading hubs, such as the Henry hub and many others.  Likewise, prices for gas futures are published daily in national newspapers.  These standardized products are amenable to price transparency since the underlying terms and conditions are well known.  Long-term gas contracts, however, are not standardized and can address any issue that needs resolution in order for the parties to conduct business.  Such contracts appropriately are private and are not subject to any generalized disclosure requirement.  </w:t>
      </w:r>
    </w:p>
    <w:p>
      <w:pPr>
        <w:pStyle w:val="BodyText"/>
        <w:rPr/>
      </w:pPr>
      <w:r>
        <w:rPr/>
        <w:tab/>
        <w:t>In both markets, FERC has regulatory oversight over a transportation function where otherwise market power may arise—interstate gas pipelines and associated storage facilities and interstate electricity transmission networks.  However, in the gas industry the underlying commodity, and commodity contracts, have not been regulated for some time, yet competition has become vigorous and well-established.  I believe the parallel for electricity should be carefully considered before the FERC proposal to extend regulation to the disclosure of underlying commodity contracts and contracts for ancillary services is adopted.</w:t>
      </w:r>
    </w:p>
    <w:p>
      <w:pPr>
        <w:pStyle w:val="BodyText"/>
        <w:rPr/>
      </w:pPr>
      <w:r>
        <w:rPr/>
        <w:tab/>
        <w:t xml:space="preserve">Admittedly, the lack of a disclosure requirement in the gas industry is due to a lack of jurisdiction by any regulatory agency.  Nonetheless, it is relevant to the Commission's assessment of the need for a disclosure requirement for long-term electricity contracts.  Competitive markets do not need this type of requirement.  Just as this is true for the gas commodity, it is true for wholesale electricity generation. </w:t>
      </w:r>
    </w:p>
    <w:p>
      <w:pPr>
        <w:pStyle w:val="Heading2"/>
        <w:rPr/>
      </w:pPr>
      <w:r>
        <w:rPr/>
        <w:t>Oil</w:t>
      </w:r>
    </w:p>
    <w:p>
      <w:pPr>
        <w:pStyle w:val="BodyText"/>
        <w:rPr/>
      </w:pPr>
      <w:r>
        <w:rPr/>
        <w:tab/>
      </w:r>
      <w:r>
        <w:rPr>
          <w:b/>
        </w:rPr>
        <w:t>[NOTE:  Unless the lawyers feel differently, we don’t believe we should include a section on the oil industry.]</w:t>
      </w:r>
    </w:p>
    <w:p>
      <w:pPr>
        <w:pStyle w:val="Heading2"/>
        <w:tabs>
          <w:tab w:val="left" w:pos="720" w:leader="none"/>
        </w:tabs>
        <w:rPr/>
      </w:pPr>
      <w:r>
        <w:rPr/>
        <w:t>Telecommunications</w:t>
      </w:r>
    </w:p>
    <w:p>
      <w:pPr>
        <w:pStyle w:val="BodyText"/>
        <w:rPr/>
      </w:pPr>
      <w:r>
        <w:rPr/>
        <w:tab/>
        <w:t>This past March 31, the Federal Communications Commission (“FCC”) reversed its 1997 Order on Reconsideration</w:t>
      </w:r>
      <w:r>
        <w:rPr>
          <w:rStyle w:val="FootnoteCharacters"/>
          <w:rStyle w:val="FootnoteReference"/>
        </w:rPr>
        <w:footnoteReference w:id="2"/>
      </w:r>
      <w:r>
        <w:rPr/>
        <w:t xml:space="preserve"> and reimposed the requirement from its Second Order and Report</w:t>
      </w:r>
      <w:r>
        <w:rPr>
          <w:rStyle w:val="FootnoteCharacters"/>
          <w:rStyle w:val="FootnoteReference"/>
        </w:rPr>
        <w:footnoteReference w:id="3"/>
      </w:r>
      <w:r>
        <w:rPr/>
        <w:t xml:space="preserve"> that non-dominant interexchange carriers disclose the terms of individually-negotiated interexchange telephony contracts.  Clearly, the FCC has wrestled with how to properly implement both competition and the statutory requirement arising from Section 254(g) of the Telecommunications Act of 1996.</w:t>
      </w:r>
      <w:r>
        <w:rPr>
          <w:rStyle w:val="FootnoteCharacters"/>
          <w:rStyle w:val="FootnoteReference"/>
        </w:rPr>
        <w:footnoteReference w:id="4"/>
      </w:r>
      <w:r>
        <w:rPr/>
        <w:t xml:space="preserve">  As the FCC itself noted in 1996 when it first proposed to implement Section 254(g) through its “Rate Averaging and Rate Integration Requirements”:</w:t>
      </w:r>
    </w:p>
    <w:p>
      <w:pPr>
        <w:pStyle w:val="BodyTextIndent"/>
        <w:rPr/>
      </w:pPr>
      <w:r>
        <w:rPr/>
        <w:t>Carriers in a competitive market might, for example, seek to de-average their rates to respond to competition.</w:t>
      </w:r>
      <w:r>
        <w:rPr>
          <w:rStyle w:val="FootnoteCharacters"/>
          <w:rStyle w:val="FootnoteReference"/>
        </w:rPr>
        <w:footnoteReference w:id="5"/>
      </w:r>
    </w:p>
    <w:p>
      <w:pPr>
        <w:pStyle w:val="BodyText"/>
        <w:rPr/>
      </w:pPr>
      <w:r>
        <w:rPr/>
        <w:tab/>
        <w:t>The FCC, therefore, recognizing that competitive markets may not produce results consistent with the Statutory requirement, initially ordered mandatory contract disclosure:</w:t>
      </w:r>
    </w:p>
    <w:p>
      <w:pPr>
        <w:pStyle w:val="BodyTextIndent"/>
        <w:rPr/>
      </w:pPr>
      <w:r>
        <w:rPr/>
        <w:t xml:space="preserve">While we believe that carrier certifications will be an important mechanism for enforcing the 1996 Act’s geographic rate averaging and rate integration requirements, we are persuaded by the arguments of many parties, including numerous state regulatory commissions and consumer groups, that publicly available information is necessary to ensure that consumers can bring complaints, if necessary, to enforce those requirements. … </w:t>
      </w:r>
      <w:r>
        <w:rPr>
          <w:i/>
        </w:rPr>
        <w:t>We recognize, however, that in competitive markets carriers would not necessarily maintain geographically averaged and integrated rates for interstate, domestic, interexchange services as required by Section 254(g).</w:t>
      </w:r>
      <w:r>
        <w:rPr>
          <w:rStyle w:val="FootnoteCharacters"/>
          <w:rStyle w:val="FootnoteReference"/>
          <w:i/>
        </w:rPr>
        <w:footnoteReference w:id="6"/>
      </w:r>
    </w:p>
    <w:p>
      <w:pPr>
        <w:pStyle w:val="BodyText"/>
        <w:rPr/>
      </w:pPr>
      <w:r>
        <w:rPr/>
        <w:tab/>
        <w:t>While the FCC reversed its 1996 position barely a year later, recognizing that public disclosure could result in direct consumer harm,</w:t>
      </w:r>
      <w:r>
        <w:rPr>
          <w:rStyle w:val="FootnoteCharacters"/>
          <w:rStyle w:val="FootnoteReference"/>
        </w:rPr>
        <w:footnoteReference w:id="7"/>
      </w:r>
      <w:r>
        <w:rPr/>
        <w:t xml:space="preserve"> I believe a more important point is to understand the original basis for the FCC’s most recent position.</w:t>
      </w:r>
      <w:r>
        <w:rPr>
          <w:rStyle w:val="FootnoteCharacters"/>
          <w:rStyle w:val="FootnoteReference"/>
        </w:rPr>
        <w:footnoteReference w:id="8"/>
      </w:r>
      <w:r>
        <w:rPr/>
        <w:t xml:space="preserve">  In 1996 the FCC clearly recognized that competitive markets do not allow the sort of economic discrimination, or cross-subsidy, required by Section 254(g).  There is, in the telecommunications world a clear tension between the dictates of an evolving competitive marketplace and the residuum from years of regulation maintained by statute.</w:t>
      </w:r>
      <w:r>
        <w:rPr>
          <w:rStyle w:val="FootnoteCharacters"/>
          <w:rStyle w:val="FootnoteReference"/>
        </w:rPr>
        <w:footnoteReference w:id="9"/>
      </w:r>
      <w:r>
        <w:rPr/>
        <w:t xml:space="preserve">  Hence, the FCC’s current policy reversal does not provide any support for mandatory long-term wholesale contract disclosure if the goal being sought is a competitive marketplace.</w:t>
      </w:r>
    </w:p>
    <w:p>
      <w:pPr>
        <w:pStyle w:val="BodyText"/>
        <w:rPr/>
      </w:pPr>
      <w:r>
        <w:rPr/>
      </w:r>
    </w:p>
    <w:p>
      <w:pPr>
        <w:pStyle w:val="BodyText"/>
        <w:rPr/>
      </w:pPr>
      <w:r>
        <w:rPr/>
      </w:r>
    </w:p>
    <w:p>
      <w:pPr>
        <w:pStyle w:val="BodyText"/>
        <w:rPr/>
      </w:pPr>
      <w:r>
        <w:rPr/>
        <w:t>.  Thus, the FCC's rationale for mandatory disclosure derives, not from a concern about efficient competition, rather from concerns about poorly informed consumers and a statutory restriction on the way prices can be quoted that has the effect of creating or perpetuating economic discrimination (geographic rate averaging and rate integration) by regulation where none might exist as a result of market forces.</w:t>
      </w:r>
    </w:p>
    <w:p>
      <w:pPr>
        <w:pStyle w:val="Heading2"/>
        <w:rPr/>
      </w:pPr>
      <w:r>
        <w:rPr/>
        <w:t>Rail</w:t>
      </w:r>
    </w:p>
    <w:p>
      <w:pPr>
        <w:pStyle w:val="BodyText"/>
        <w:rPr/>
      </w:pPr>
      <w:r>
        <w:rPr/>
        <w:tab/>
        <w:t xml:space="preserve">Railroads may provide service under rates and service terms negotiated confidentially with shippers </w:t>
      </w:r>
      <w:r>
        <w:rPr>
          <w:color w:val="FF0000"/>
        </w:rPr>
        <w:t>[49 U.S.C. 10709]</w:t>
      </w:r>
      <w:r>
        <w:rPr/>
        <w:t>, or under rates and service terms in openly published tariffs [49 U.S.C. 11101].</w:t>
      </w:r>
      <w:r>
        <w:rPr>
          <w:rStyle w:val="FootnoteCharacters"/>
          <w:rStyle w:val="FootnoteReference"/>
        </w:rPr>
        <w:footnoteReference w:id="10"/>
      </w:r>
      <w:r>
        <w:rPr/>
        <w:t xml:space="preserve">  Negotiated rate and service terms are </w:t>
      </w:r>
      <w:r>
        <w:rPr>
          <w:i/>
        </w:rPr>
        <w:t>not</w:t>
      </w:r>
      <w:r>
        <w:rPr/>
        <w:t xml:space="preserve"> subject to regulation by the Surface Transportation Board in general.</w:t>
      </w:r>
      <w:r>
        <w:rPr>
          <w:rStyle w:val="FootnoteCharacters"/>
          <w:rStyle w:val="FootnoteReference"/>
        </w:rPr>
        <w:footnoteReference w:id="11"/>
      </w:r>
      <w:r>
        <w:rPr/>
        <w:t xml:space="preserve">  Hence, two classes of contracting instruments exist: common carrier terms and conditions, and privately negotiated terms and conditions.</w:t>
      </w:r>
      <w:r>
        <w:rPr>
          <w:rStyle w:val="FootnoteCharacters"/>
          <w:rStyle w:val="FootnoteReference"/>
        </w:rPr>
        <w:footnoteReference w:id="12"/>
      </w:r>
      <w:r>
        <w:rPr/>
        <w:t xml:space="preserve">  </w:t>
      </w:r>
    </w:p>
    <w:p>
      <w:pPr>
        <w:pStyle w:val="BodyText"/>
        <w:rPr/>
      </w:pPr>
      <w:r>
        <w:rPr/>
        <w:tab/>
        <w:t>Following passage of the Staggers Act (1980), railroads continued to have a common carrier obligation to provide service upon request [49 U.S.C. 11101(a)].  Initial rulemaking by the Interstate Commerce Commission (ICC) called for specific information about each contract that would have allowed competitors, both other railroads and shippers, to determine the terms and conditions for individual transactions.  After protests from the rail and shipping community, the ICC altered its initial direction and called for minimal disclosure of the economic terms of rail transportation contracts.</w:t>
      </w:r>
      <w:r>
        <w:rPr>
          <w:rStyle w:val="FootnoteCharacters"/>
          <w:rStyle w:val="FootnoteReference"/>
        </w:rPr>
        <w:footnoteReference w:id="13"/>
      </w:r>
      <w:r>
        <w:rPr/>
        <w:t xml:space="preserve">  The railroads were intially required to provide a sealed copy of the contract to the ICC, and that contract could only be viewed by other parties under restrictive rules.  After the rules were altered to require minimal information to be revealed publicly through the ICC, the railroads were required to the submit a document stating that a contract had been executed with some minimal amount of information.</w:t>
      </w:r>
      <w:r>
        <w:rPr>
          <w:rStyle w:val="FootnoteCharacters"/>
          <w:rStyle w:val="FootnoteReference"/>
        </w:rPr>
        <w:footnoteReference w:id="14"/>
      </w:r>
      <w:r>
        <w:rPr/>
        <w:t xml:space="preserve">  Even this requirement, for all commodities other than agricultural products, was eventually dropped with the termination of the ICC.</w:t>
      </w:r>
      <w:r>
        <w:rPr>
          <w:rStyle w:val="FootnoteCharacters"/>
          <w:rStyle w:val="FootnoteReference"/>
        </w:rPr>
        <w:footnoteReference w:id="15"/>
      </w:r>
    </w:p>
    <w:p>
      <w:pPr>
        <w:pStyle w:val="BodyText"/>
        <w:rPr/>
      </w:pPr>
      <w:r>
        <w:rPr/>
        <w:tab/>
        <w:t>Surface transport regulation harmed consumers because the form regulation took discouraged rate reductions in two ways.  First, rates were public.  Hence, rate-cutting could be easily matched by rivals to retail business.  Second, the ICC had a long history of being concerned about “undue discrimination” between railroad customers.</w:t>
      </w:r>
      <w:r>
        <w:rPr>
          <w:rStyle w:val="FootnoteCharacters"/>
          <w:rStyle w:val="FootnoteReference"/>
        </w:rPr>
        <w:footnoteReference w:id="16"/>
      </w:r>
      <w:r>
        <w:rPr/>
        <w:t xml:space="preserve">  When all “similarly situated” customers are entitled to free-ride on the negotiating effort of one customer by being able to demand lower rates or better terms, any railroad considering granting a rate reduction or service improvement would be deterred from doing so. </w:t>
      </w:r>
    </w:p>
    <w:p>
      <w:pPr>
        <w:pStyle w:val="BodyText"/>
        <w:rPr/>
      </w:pPr>
      <w:r>
        <w:rPr/>
        <w:tab/>
        <w:t>The rail industry price discriminates between different customers in the commodities it transports.  Indeed the practice is endorsed by the Surface Transportation Board (STB).  The STB believed that such discrimination is justified on economic efficiency grounds because it provides the railroads the opportunity to recover “joint and common” costs that cannot be attributed to specific traffic.</w:t>
      </w:r>
      <w:r>
        <w:rPr>
          <w:rStyle w:val="FootnoteCharacters"/>
          <w:rStyle w:val="FootnoteReference"/>
        </w:rPr>
        <w:footnoteReference w:id="17"/>
      </w:r>
      <w:r>
        <w:rPr/>
        <w:t xml:space="preserve">  In order to enable railroads to practice such efficient discrimination, contracts are confidential.  Indeed in the Waybill Sample that is made available to the public each year, railroads are permitted to disguise the revenue field to prevent enterprising shippers form determining the actual rates that railroads charge to different customers.  The fear is that making rates public will undermine railroads’ abilities to engage in efficient price discrimination. </w:t>
      </w:r>
    </w:p>
    <w:p>
      <w:pPr>
        <w:pStyle w:val="BodyText"/>
        <w:rPr/>
      </w:pPr>
      <w:r>
        <w:rPr/>
        <w:tab/>
        <w:t>Since the passage of the Staggers Act, surface transportation performance improved substantially.  Rates declined and service improved.</w:t>
      </w:r>
      <w:r>
        <w:rPr>
          <w:rStyle w:val="FootnoteCharacters"/>
          <w:rStyle w:val="FootnoteReference"/>
        </w:rPr>
        <w:footnoteReference w:id="18"/>
      </w:r>
      <w:r>
        <w:rPr/>
        <w:t xml:space="preserve">  A recent position paper by the Association of American Railroads (AAR) concerning the Staggers Act states, “Average rail rates (as measured in revenue per ton-mile) have fallen more than 50% on an inflation-adjusted basis since 1980.”</w:t>
      </w:r>
      <w:r>
        <w:rPr>
          <w:rStyle w:val="FootnoteCharacters"/>
          <w:rStyle w:val="FootnoteReference"/>
        </w:rPr>
        <w:footnoteReference w:id="19"/>
      </w:r>
      <w:r>
        <w:rPr/>
        <w:t xml:space="preserve">  This position paper points to other improvements caused by Staggers including greater capital investment, an improved safety record, and higher productivity.</w:t>
      </w:r>
    </w:p>
    <w:p>
      <w:pPr>
        <w:pStyle w:val="Heading2"/>
        <w:rPr/>
      </w:pPr>
      <w:r>
        <w:rPr/>
        <w:t>Trucking</w:t>
      </w:r>
    </w:p>
    <w:p>
      <w:pPr>
        <w:pStyle w:val="BodyText"/>
        <w:rPr>
          <w:b/>
        </w:rPr>
      </w:pPr>
      <w:r>
        <w:rPr>
          <w:b/>
        </w:rPr>
        <w:t>[NOTE:  We could draft a section on this if it is needed.]</w:t>
      </w:r>
    </w:p>
    <w:p>
      <w:pPr>
        <w:pStyle w:val="Heading2"/>
        <w:rPr/>
      </w:pPr>
      <w:r>
        <w:rPr/>
        <w:t>Ocean Shipping</w:t>
      </w:r>
    </w:p>
    <w:p>
      <w:pPr>
        <w:pStyle w:val="BodyText"/>
        <w:rPr/>
      </w:pPr>
      <w:r>
        <w:rPr/>
        <w:tab/>
        <w:t>Ocean shipping is another example where private contract terms will not, in the future, be public.  The Ocean Shipping Reform Act of 1998 (OSRA) represents a marked change in the way shipping conference contracting will work.  In the future, bilateral service contracts will be converted from public documents that any shipper could use to demand “equal treatment,” into confidential private agreements that neither shippers nor conference carriers can review.</w:t>
      </w:r>
      <w:r>
        <w:rPr>
          <w:rStyle w:val="FootnoteCharacters"/>
          <w:rStyle w:val="FootnoteReference"/>
        </w:rPr>
        <w:footnoteReference w:id="20"/>
      </w:r>
      <w:r>
        <w:rPr/>
        <w:t xml:space="preserve">  The Federal Maritime Commission expects that this change in the rules will result in a substantial increase in the use of service contracts, from 12,000 in 1998 to 150,000 in 1999.</w:t>
      </w:r>
      <w:r>
        <w:rPr>
          <w:rStyle w:val="FootnoteCharacters"/>
          <w:rStyle w:val="FootnoteReference"/>
        </w:rPr>
        <w:footnoteReference w:id="21"/>
      </w:r>
      <w:r>
        <w:rPr/>
        <w:t xml:space="preserve">  Ocean shipping regulation, much like railroad and motor carrier regulation, contained provisions and interpretations that has tended to discourage rate cutting that might better align prices with cost-of-service.</w:t>
      </w:r>
      <w:r>
        <w:rPr>
          <w:rStyle w:val="FootnoteCharacters"/>
          <w:rStyle w:val="FootnoteReference"/>
        </w:rPr>
        <w:footnoteReference w:id="22"/>
      </w:r>
      <w:r>
        <w:rPr/>
        <w:t xml:space="preserve"> </w:t>
      </w:r>
    </w:p>
    <w:p>
      <w:pPr>
        <w:pStyle w:val="BodyText"/>
        <w:rPr/>
      </w:pPr>
      <w:r>
        <w:rPr/>
        <w:tab/>
        <w:t>The initial rulemaking by the Federal Maritime Commission (FMC) had parallels to the ICC rulemaking process.  Like the ICC, The FMC’s initial thoughts were to require a significant amount of contract information.  Steamship companies and shippers argued strongly against anything but minimal data.</w:t>
      </w:r>
      <w:r>
        <w:rPr>
          <w:rStyle w:val="FootnoteCharacters"/>
          <w:rStyle w:val="FootnoteReference"/>
        </w:rPr>
        <w:footnoteReference w:id="23"/>
      </w:r>
      <w:r>
        <w:rPr/>
        <w:t xml:space="preserve">  The AAR submitted a position paper in support of maritime deregulation to Congress and particular, confidential contracts.  The paper states that confidential contracts were an important factor in the success of the Staggers Act.</w:t>
      </w:r>
      <w:r>
        <w:rPr>
          <w:rStyle w:val="FootnoteCharacters"/>
          <w:rStyle w:val="FootnoteReference"/>
        </w:rPr>
        <w:footnoteReference w:id="24"/>
      </w:r>
      <w:r>
        <w:rPr/>
        <w:t xml:space="preserve">  Upon reconsideration, the FMC agreed.</w:t>
      </w:r>
    </w:p>
    <w:p>
      <w:pPr>
        <w:pStyle w:val="BodyText"/>
        <w:rPr/>
      </w:pPr>
      <w:r>
        <w:rPr/>
        <w:tab/>
        <w:t>As the OSRA only became effective May 1, 1999, it is too soon to draw conclusions about the impact on shipping rates.  Thus far, confidential contracts allowed by OSRA have not resulted in a discernable shift in business, but the relationships between shippers and carriers have improved compared to 1998.  In the past, when rate conferences dominated carriers’ activities, shipping executives spent a good deal of time lobbying their counterparts regarding rates and services.  Currently, with non-disclosed contracts, carriers are spending more time developing relationships with their customers.  This could have a positive effect on competitiveness against foreign vendors.</w:t>
      </w:r>
      <w:r>
        <w:rPr>
          <w:rStyle w:val="FootnoteCharacters"/>
          <w:rStyle w:val="FootnoteReference"/>
        </w:rPr>
        <w:footnoteReference w:id="25"/>
      </w:r>
      <w:r>
        <w:rPr/>
        <w:t xml:space="preserve">  If the number of contracts expected to be submitted to the FMC is any indication, there will be enthusiastic support for the use of this method of obtaining water transportation services.</w:t>
      </w:r>
      <w:r>
        <w:rPr>
          <w:rStyle w:val="FootnoteCharacters"/>
          <w:rStyle w:val="FootnoteReference"/>
        </w:rPr>
        <w:footnoteReference w:id="26"/>
      </w:r>
    </w:p>
    <w:p>
      <w:pPr>
        <w:pStyle w:val="Heading2"/>
        <w:rPr/>
      </w:pPr>
      <w:r>
        <w:rPr/>
        <w:t>Airlines</w:t>
      </w:r>
    </w:p>
    <w:p>
      <w:pPr>
        <w:pStyle w:val="BodyText"/>
        <w:rPr/>
      </w:pPr>
      <w:r>
        <w:rPr/>
        <w:tab/>
        <w:t>Airlines were the first of the major transportation modes deregulated, with air cargo freed of regulation in 1977 and passengers in 1978 with the Airlines Deregulation Act (ADA).</w:t>
      </w:r>
      <w:r>
        <w:rPr>
          <w:rStyle w:val="FootnoteCharacters"/>
          <w:rStyle w:val="FootnoteReference"/>
        </w:rPr>
        <w:footnoteReference w:id="27"/>
      </w:r>
      <w:r>
        <w:rPr/>
        <w:t xml:space="preserve"> Confidential contracts were allowed for the movement of cargo.  Although not used as extensively as cargo contracts, confidential contracts with corporations that have significant employee movement are beginning to be popular.  There are now more passengers and cargo flying at lower rates than ever before in both domestic and international travel.</w:t>
      </w:r>
      <w:r>
        <w:rPr>
          <w:rStyle w:val="FootnoteCharacters"/>
          <w:rStyle w:val="FootnoteReference"/>
        </w:rPr>
        <w:footnoteReference w:id="28"/>
      </w:r>
    </w:p>
    <w:p>
      <w:pPr>
        <w:pStyle w:val="BodyText"/>
        <w:spacing w:before="0" w:after="24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440" w:top="1496"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Helvetica">
    <w:altName w:val="Arial"/>
    <w:charset w:val="00" w:characterSet="windows-1252"/>
    <w:family w:val="swiss"/>
    <w:pitch w:val="variable"/>
  </w:font>
  <w:font w:name="Lucida Sans Unicode">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pacing w:before="0" w:after="120"/>
        <w:ind w:hanging="720" w:start="720" w:end="0"/>
        <w:rPr/>
      </w:pPr>
      <w:r>
        <w:rPr>
          <w:rStyle w:val="FootnoteCharacters"/>
        </w:rPr>
        <w:footnoteRef/>
      </w:r>
      <w:r>
        <w:rPr/>
        <w:t xml:space="preserve"> </w:t>
      </w:r>
      <w:r>
        <w:rPr/>
        <w:tab/>
        <w:t>Order of Reconsideration, 12 FCC Rcd 15014 (1997)</w:t>
      </w:r>
    </w:p>
  </w:footnote>
  <w:footnote w:id="3">
    <w:p>
      <w:pPr>
        <w:pStyle w:val="FootnoteText"/>
        <w:widowControl w:val="false"/>
        <w:spacing w:before="0" w:after="120"/>
        <w:ind w:hanging="720" w:start="720" w:end="0"/>
        <w:rPr/>
      </w:pPr>
      <w:r>
        <w:rPr>
          <w:rStyle w:val="FootnoteCharacters"/>
        </w:rPr>
        <w:footnoteRef/>
      </w:r>
      <w:r>
        <w:rPr/>
        <w:tab/>
        <w:t>11 FCC Rcd 20730 (1996), stay granted, MCI Telecommunications Corp. v. FCC, No. 96-1459 (D.C. Cir. Feb. 13, 1997).  See also Policy and Rules Concerning the Interstate, Interexchange Marketplace; Implementation of Section 254(g) of the Communications Act of 1934, as amended, CC Docket No. 96-61, Report and Order, 11 FCC Rcd 9564 (1996).</w:t>
      </w:r>
    </w:p>
  </w:footnote>
  <w:footnote w:id="4">
    <w:p>
      <w:pPr>
        <w:pStyle w:val="FootnoteText"/>
        <w:rPr/>
      </w:pPr>
      <w:r>
        <w:rPr>
          <w:rStyle w:val="FootnoteCharacters"/>
        </w:rPr>
        <w:footnoteRef/>
      </w:r>
      <w:r>
        <w:rPr/>
        <w:t xml:space="preserve"> </w:t>
      </w:r>
      <w:r>
        <w:rPr/>
        <w:tab/>
        <w:t>Section 254(g), which has prompted the FCC’s repeated reconsideration and policy reversals reads:</w:t>
      </w:r>
    </w:p>
    <w:p>
      <w:pPr>
        <w:pStyle w:val="FootnoteText"/>
        <w:ind w:start="1440" w:end="720"/>
        <w:rPr/>
      </w:pPr>
      <w:r>
        <w:rPr/>
        <w:tab/>
        <w:t>INTEREXCHANGE AND INTERSTATE SERVICES.—Within 6 months after the date of enactment of the Telecommunications Act of 1996, the Commission shall adopt rules to require that the rates charged by providers of interexchange telecommunications services to subscribers in rural and high cost areas shall be no higher than the rates charged by each such provider to its subscribers in urban areas.  Such rules shall also require that a provider of interstate interexchange telecommunications services shall provide such services to its subscribers in each State at rates no higher than the rates charged to its subscribers in any other State.</w:t>
      </w:r>
    </w:p>
    <w:p>
      <w:pPr>
        <w:pStyle w:val="FootnoteText"/>
        <w:widowControl w:val="false"/>
        <w:spacing w:before="0" w:after="120"/>
        <w:ind w:hanging="720" w:start="720" w:end="0"/>
        <w:rPr/>
      </w:pPr>
      <w:r>
        <w:rPr/>
        <w:tab/>
        <w:t>In other words, Section 254(g) requires interexchange carriers to price services without regard to transaction, geographic or customer specific cost differences.  In other words, the Statute requires a continuation of economic discrimination of the sort competitive markets would otherwise eliminate.</w:t>
      </w:r>
    </w:p>
  </w:footnote>
  <w:footnote w:id="5">
    <w:p>
      <w:pPr>
        <w:pStyle w:val="FootnoteText"/>
        <w:widowControl w:val="false"/>
        <w:spacing w:before="0" w:after="120"/>
        <w:ind w:hanging="720" w:start="720" w:end="0"/>
        <w:rPr/>
      </w:pPr>
      <w:r>
        <w:rPr>
          <w:rStyle w:val="FootnoteCharacters"/>
        </w:rPr>
        <w:footnoteRef/>
      </w:r>
      <w:r>
        <w:rPr/>
        <w:t xml:space="preserve"> </w:t>
      </w:r>
      <w:r>
        <w:rPr/>
        <w:tab/>
        <w:t>Second Report and Order, footnote 232, PARA 84.</w:t>
      </w:r>
    </w:p>
  </w:footnote>
  <w:footnote w:id="6">
    <w:p>
      <w:pPr>
        <w:pStyle w:val="FootnoteText"/>
        <w:widowControl w:val="false"/>
        <w:spacing w:before="0" w:after="120"/>
        <w:ind w:hanging="720" w:start="720" w:end="0"/>
        <w:rPr/>
      </w:pPr>
      <w:r>
        <w:rPr>
          <w:rStyle w:val="FootnoteCharacters"/>
        </w:rPr>
        <w:footnoteRef/>
      </w:r>
      <w:r>
        <w:rPr/>
        <w:t xml:space="preserve"> </w:t>
      </w:r>
      <w:r>
        <w:rPr/>
        <w:tab/>
        <w:t xml:space="preserve">Second Report and Order, PARA 84, emphasis added.  The FCC continued by noting that public notice would permit private citizens to seek enforcement of the admittedly non-competitive requirements of Section 254(g).  </w:t>
      </w:r>
    </w:p>
  </w:footnote>
  <w:footnote w:id="7">
    <w:p>
      <w:pPr>
        <w:pStyle w:val="FootnoteText"/>
        <w:rPr/>
      </w:pPr>
      <w:r>
        <w:rPr>
          <w:rStyle w:val="FootnoteCharacters"/>
        </w:rPr>
        <w:footnoteRef/>
      </w:r>
      <w:r>
        <w:rPr/>
        <w:tab/>
        <w:t>Order on Reconsideration, pp. 33-34, 37-38:</w:t>
      </w:r>
    </w:p>
    <w:p>
      <w:pPr>
        <w:pStyle w:val="FootnoteText"/>
        <w:ind w:start="1440" w:end="720"/>
        <w:rPr/>
      </w:pPr>
      <w:r>
        <w:rPr/>
        <w:tab/>
        <w:t>[Ad Hoc Users Committee] argues that a public disclosure requirement makes it easier for interexchange carriers to ascertain their competitors’ price and service information, and, therefore, the requirement is inconsistent with the Commission’s interest in deterring price coordination. …</w:t>
      </w:r>
    </w:p>
    <w:p>
      <w:pPr>
        <w:pStyle w:val="FootnoteText"/>
        <w:spacing w:before="0" w:after="120"/>
        <w:ind w:hanging="0" w:start="1440" w:end="0"/>
        <w:rPr/>
      </w:pPr>
      <w:r>
        <w:rPr/>
        <w:t>API, Bell Atlantic, and Sprint support Ad Hoc Users Committee’s position, arguing that a public disclosure requirement for customer-specific arrangements will inhibit competition and that businesses in other competitive markets are not required to disclose the terms of customer-specific deals.</w:t>
      </w:r>
    </w:p>
  </w:footnote>
  <w:footnote w:id="8">
    <w:p>
      <w:pPr>
        <w:pStyle w:val="FootnoteText"/>
        <w:widowControl w:val="false"/>
        <w:spacing w:before="0" w:after="120"/>
        <w:ind w:hanging="720" w:start="720" w:end="0"/>
        <w:rPr/>
      </w:pPr>
      <w:r>
        <w:rPr>
          <w:rStyle w:val="FootnoteCharacters"/>
        </w:rPr>
        <w:footnoteRef/>
      </w:r>
      <w:r>
        <w:rPr/>
        <w:t xml:space="preserve"> </w:t>
      </w:r>
      <w:r>
        <w:rPr/>
        <w:tab/>
        <w:t xml:space="preserve">When the FCC’s March 31, 1999 position ever become effective is, at this point, unclear.  AT&amp;T Corp. and MCI WorldCom Inc. have filed an appeal with the D.C. Circuit Court of Appeals for a judicial hearing and review of the requirement that non-dominant interexchange carriers publicly disclose their contract terms.  </w:t>
      </w:r>
      <w:r>
        <w:rPr>
          <w:i/>
        </w:rPr>
        <w:t>Dow Jones Newswires</w:t>
      </w:r>
      <w:r>
        <w:rPr/>
        <w:t>, June 22, 1999.</w:t>
      </w:r>
    </w:p>
  </w:footnote>
  <w:footnote w:id="9">
    <w:p>
      <w:pPr>
        <w:pStyle w:val="FootnoteText"/>
        <w:widowControl w:val="false"/>
        <w:spacing w:before="0" w:after="120"/>
        <w:ind w:hanging="720" w:start="720" w:end="0"/>
        <w:rPr/>
      </w:pPr>
      <w:r>
        <w:rPr>
          <w:rStyle w:val="FootnoteCharacters"/>
        </w:rPr>
        <w:footnoteRef/>
      </w:r>
      <w:r>
        <w:rPr/>
        <w:tab/>
        <w:t>The FCC’s March 31 Order acknowledges conflicting public interest issues surrounding its rate disclosure requirement.  Policy and Rules Concerning the Interstate, Interexchange Marketplace, Implementation of Section 254(g) of the Communications Act of 1934, as amended, CC Docket No. 96-61, adopted March 18, 1999, released March 31, 1999, pp. 10-12 (PARA 16-18).  However, unlike FERC, the FCC has adopted rules in a market characterized by a multitude of small, retail, end-use customers, unlike the wholesale electric power contracting at issue here.  The FCC concluded that small, retail, customers could not and did not understand the terms and conditions of the multitude of alternative long-distance plans being offered.  The FCC’s most recent position appears to have been partially driven by a consumer protection concern regarding fraud, misrepresentation, or chronic overbilling.  CC Docket 96-61 (1999), pp. 9, 10 (PARAs 14, 15): “[P]etitioners claim that carrier representatives: (1) provide information that was generally incomplete or inaccurate; (2) referred callers to their filed tariffs rather than providing information verbally; (3) withheld information about lower-cost calling plans; and (4) provided information verbally, but only reluctantly confirmed it in writing. … We took these actions to address concerns that consumers were not receiving sufficient information to protect themselves against fraud and misinformation, and to select telecommunications services and providers that best suit their individual needs.”  These may be legitimate concerns for the FCC regarding information provided to small, retail consumers and how they understand it.  However, such concerns are not relevant here.</w:t>
      </w:r>
    </w:p>
  </w:footnote>
  <w:footnote w:id="10">
    <w:p>
      <w:pPr>
        <w:pStyle w:val="FootnoteText"/>
        <w:widowControl w:val="false"/>
        <w:spacing w:before="0" w:after="120"/>
        <w:ind w:hanging="720" w:start="720" w:end="0"/>
        <w:rPr/>
      </w:pPr>
      <w:r>
        <w:rPr>
          <w:rStyle w:val="FootnoteCharacters"/>
        </w:rPr>
        <w:footnoteRef/>
      </w:r>
      <w:r>
        <w:rPr/>
        <w:tab/>
        <w:t>Strictly, railroads must only disclose upon request their rates and terms for common carrier service for all but agricultural commodities.  Common carrier rates and terms for agricultural commodities must be published in filed tariffs.</w:t>
      </w:r>
    </w:p>
  </w:footnote>
  <w:footnote w:id="11">
    <w:p>
      <w:pPr>
        <w:pStyle w:val="FootnoteText"/>
        <w:widowControl w:val="false"/>
        <w:spacing w:before="0" w:after="120"/>
        <w:ind w:hanging="720" w:start="720" w:end="0"/>
        <w:rPr/>
      </w:pPr>
      <w:r>
        <w:rPr>
          <w:rStyle w:val="FootnoteCharacters"/>
        </w:rPr>
        <w:footnoteRef/>
      </w:r>
      <w:r>
        <w:rPr/>
        <w:tab/>
        <w:t xml:space="preserve">Surface Transportation Board, </w:t>
      </w:r>
      <w:r>
        <w:rPr>
          <w:i/>
        </w:rPr>
        <w:t>1996/1997 Annual Report</w:t>
      </w:r>
      <w:r>
        <w:rPr/>
        <w:t>, March 16, 1998: p. 17.  The exception is for certain grain products [49 U.S.C. 10709].  Even in this case, the full competitively sensitive terms and conditions in private contracts do not regularly become public knowledge, though the existence of the contracts themselves may become public.  Even in those cases where revenue revelation has been required, such as the 1% Waybill Sample, the STB has recently proposed new rules permitting the filing railroads to mask revenue information by using an average of contract and non-contract revenue rather than the actual revenue specified in the contract.  64 FR 26,723 at 26,724 (1999).</w:t>
      </w:r>
    </w:p>
  </w:footnote>
  <w:footnote w:id="12">
    <w:p>
      <w:pPr>
        <w:pStyle w:val="FootnoteText"/>
        <w:widowControl w:val="false"/>
        <w:spacing w:before="0" w:after="120"/>
        <w:ind w:hanging="720" w:start="720" w:end="0"/>
        <w:rPr/>
      </w:pPr>
      <w:r>
        <w:rPr>
          <w:rStyle w:val="FootnoteCharacters"/>
        </w:rPr>
        <w:footnoteRef/>
      </w:r>
      <w:r>
        <w:rPr/>
        <w:tab/>
        <w:t xml:space="preserve">In electric power there are also, broadly, two types of services for present purposes: spot and long-term.  Power pools where transmission is run by an ISO, such as the Pennsylvania-New Jersey-Maryland (“PJM”) pool, typically have hour-by-hour (and possibly in the near future real-time publication over even shorter time periods) publication of spot-power rates.  The spot-rates—essentially terms for a homogeneous contracted commodity—are widely and quickly known and provide information relevant for price discovery and other purposes.  </w:t>
      </w:r>
    </w:p>
  </w:footnote>
  <w:footnote w:id="13">
    <w:p>
      <w:pPr>
        <w:pStyle w:val="FootnoteText"/>
        <w:widowControl w:val="false"/>
        <w:spacing w:before="0" w:after="120"/>
        <w:ind w:hanging="720" w:start="720" w:end="0"/>
        <w:rPr/>
      </w:pPr>
      <w:r>
        <w:rPr>
          <w:rStyle w:val="FootnoteCharacters"/>
        </w:rPr>
        <w:footnoteRef/>
      </w:r>
      <w:r>
        <w:rPr/>
        <w:tab/>
        <w:t xml:space="preserve">ICC asked to give non-contractors chance to protest railroad pacts, </w:t>
      </w:r>
      <w:r>
        <w:rPr>
          <w:i/>
        </w:rPr>
        <w:t>Transportation World</w:t>
      </w:r>
      <w:r>
        <w:rPr/>
        <w:t>, January 14, 1981..</w:t>
      </w:r>
    </w:p>
  </w:footnote>
  <w:footnote w:id="14">
    <w:p>
      <w:pPr>
        <w:pStyle w:val="FootnoteText"/>
        <w:widowControl w:val="false"/>
        <w:spacing w:before="0" w:after="120"/>
        <w:ind w:hanging="720" w:start="720" w:end="0"/>
        <w:rPr/>
      </w:pPr>
      <w:r>
        <w:rPr>
          <w:rStyle w:val="FootnoteCharacters"/>
        </w:rPr>
        <w:footnoteRef/>
      </w:r>
      <w:r>
        <w:rPr/>
        <w:t xml:space="preserve"> </w:t>
      </w:r>
      <w:r>
        <w:rPr/>
        <w:tab/>
        <w:t>Ex Parte No. 387, Railroad Transportation Contracts, 367 ICC p. 9-41.  In particular, the final requirements for the publicly available contract summary are described from pages 28 to 35.</w:t>
      </w:r>
    </w:p>
  </w:footnote>
  <w:footnote w:id="15">
    <w:p>
      <w:pPr>
        <w:pStyle w:val="FootnoteText"/>
        <w:widowControl w:val="false"/>
        <w:spacing w:before="0" w:after="120"/>
        <w:ind w:hanging="720" w:start="720" w:end="0"/>
        <w:rPr/>
      </w:pPr>
      <w:r>
        <w:rPr>
          <w:rStyle w:val="FootnoteCharacters"/>
        </w:rPr>
        <w:footnoteRef/>
      </w:r>
      <w:r>
        <w:rPr/>
        <w:tab/>
        <w:t>Sec. 10709, ICC Termination Act, Pub. L. No. 104-88, 109 Stat. 803.</w:t>
      </w:r>
    </w:p>
  </w:footnote>
  <w:footnote w:id="16">
    <w:p>
      <w:pPr>
        <w:pStyle w:val="FootnoteText"/>
        <w:widowControl w:val="false"/>
        <w:spacing w:before="0" w:after="120"/>
        <w:ind w:hanging="720" w:start="720" w:end="0"/>
        <w:rPr/>
      </w:pPr>
      <w:r>
        <w:rPr>
          <w:rStyle w:val="FootnoteCharacters"/>
        </w:rPr>
        <w:footnoteRef/>
      </w:r>
      <w:r>
        <w:rPr/>
        <w:tab/>
        <w:t>“Undue discrimination” was not necessarily “economic discrimination.”  The ICC often found that rate differences amounted to “discrimination” regardless of when or not they arose out of cost differences in serving different shippers.</w:t>
      </w:r>
    </w:p>
  </w:footnote>
  <w:footnote w:id="17">
    <w:p>
      <w:pPr>
        <w:pStyle w:val="FootnoteText"/>
        <w:widowControl w:val="false"/>
        <w:spacing w:before="0" w:after="120"/>
        <w:ind w:hanging="720" w:start="720" w:end="0"/>
        <w:rPr/>
      </w:pPr>
      <w:r>
        <w:rPr>
          <w:rStyle w:val="FootnoteCharacters"/>
        </w:rPr>
        <w:footnoteRef/>
      </w:r>
      <w:r>
        <w:rPr/>
        <w:tab/>
        <w:t xml:space="preserve">See Ex parte No. 347 (Sub-No.20 ) Rate Guideline – Non- Coal Proceedings.  “Under Ramsey pricing principles, carriers are expected to price traffic in inverse proportion of demand elasticity, up to the point at which a reasonable profit level is attained.”  </w:t>
      </w:r>
    </w:p>
  </w:footnote>
  <w:footnote w:id="18">
    <w:p>
      <w:pPr>
        <w:pStyle w:val="FootnoteText"/>
        <w:widowControl w:val="false"/>
        <w:spacing w:before="0" w:after="120"/>
        <w:ind w:hanging="720" w:start="720" w:end="0"/>
        <w:rPr/>
      </w:pPr>
      <w:r>
        <w:rPr>
          <w:rStyle w:val="FootnoteCharacters"/>
        </w:rPr>
        <w:footnoteRef/>
      </w:r>
      <w:r>
        <w:rPr/>
        <w:tab/>
        <w:t xml:space="preserve">Boyer, “The costs of price regulation: lessons from railroad deregulation,” </w:t>
      </w:r>
      <w:r>
        <w:rPr>
          <w:i/>
        </w:rPr>
        <w:t>Rand J. of Economics</w:t>
      </w:r>
      <w:r>
        <w:rPr/>
        <w:t xml:space="preserve">, 18 (Autumn, 1987): 408-416 (real rates for rail traffic declined 12% between 1981 and 1985); Babcock, “Efficiency and adjustment: the impact of railroad deregulation,” </w:t>
      </w:r>
      <w:r>
        <w:rPr>
          <w:i/>
        </w:rPr>
        <w:t xml:space="preserve">Policy Analysis </w:t>
      </w:r>
      <w:r>
        <w:rPr/>
        <w:t>(January 31, 1984); CSX Corporation, “America’s Freight Railroads,” (</w:t>
      </w:r>
      <w:hyperlink r:id="rId1">
        <w:r>
          <w:rPr>
            <w:rStyle w:val="Hyperlink"/>
          </w:rPr>
          <w:t>http://www.csxrealproperty.com</w:t>
        </w:r>
      </w:hyperlink>
      <w:r>
        <w:rPr/>
        <w:t>) (“Since 1980, U.S. rail productivity has nearly tripled, inflation-adjusted freight rates have fallen by more than half and employee injuries and illnesses have been reduced by two-thirds.”).</w:t>
      </w:r>
    </w:p>
  </w:footnote>
  <w:footnote w:id="19">
    <w:p>
      <w:pPr>
        <w:pStyle w:val="FootnoteText"/>
        <w:widowControl w:val="false"/>
        <w:spacing w:before="0" w:after="120"/>
        <w:ind w:hanging="720" w:start="720" w:end="0"/>
        <w:rPr/>
      </w:pPr>
      <w:r>
        <w:rPr>
          <w:rStyle w:val="FootnoteCharacters"/>
        </w:rPr>
        <w:footnoteRef/>
      </w:r>
      <w:r>
        <w:rPr/>
        <w:tab/>
        <w:t>“Staggers Rail Act: A Boon to Safety and Efficiency,” Association of American Railroads, (http:\\www.aar.org/comm/position.nsf…/71d3705c87e91ce375256618006bf25e)</w:t>
      </w:r>
    </w:p>
  </w:footnote>
  <w:footnote w:id="20">
    <w:p>
      <w:pPr>
        <w:pStyle w:val="FootnoteText"/>
        <w:widowControl w:val="false"/>
        <w:spacing w:before="0" w:after="120"/>
        <w:ind w:hanging="720" w:start="720" w:end="0"/>
        <w:rPr/>
      </w:pPr>
      <w:r>
        <w:rPr>
          <w:rStyle w:val="FootnoteCharacters"/>
        </w:rPr>
        <w:footnoteRef/>
      </w:r>
      <w:r>
        <w:rPr/>
        <w:tab/>
        <w:t xml:space="preserve">Dennis L. Bryant, “Ocean shipping reform will shake the industry,” </w:t>
      </w:r>
      <w:r>
        <w:rPr>
          <w:i/>
        </w:rPr>
        <w:t>the journal of commerce online</w:t>
      </w:r>
      <w:r>
        <w:rPr/>
        <w:t xml:space="preserve"> (http://www.joc.com/issues/current/m_l_time/e23423.htm).  The contracts will be filed with the Federal Maritime Commission as confidential documents not subject to FOIA.  A limited amount of information about the contracts will be made public, including origin and destination ports, commodities involved, the minimum volume covered by the contract, and its duration.  No other terms, including rates, special services, contract maximums or expected contract volumes will be revealed.</w:t>
      </w:r>
    </w:p>
  </w:footnote>
  <w:footnote w:id="21">
    <w:p>
      <w:pPr>
        <w:pStyle w:val="FootnoteText"/>
        <w:widowControl w:val="false"/>
        <w:spacing w:before="0" w:after="120"/>
        <w:ind w:hanging="720" w:start="720" w:end="0"/>
        <w:rPr/>
      </w:pPr>
      <w:r>
        <w:rPr>
          <w:rStyle w:val="FootnoteCharacters"/>
        </w:rPr>
        <w:footnoteRef/>
      </w:r>
      <w:r>
        <w:rPr/>
        <w:tab/>
        <w:t xml:space="preserve">Bryant, op cit.  Service contracts have always been available as a contracting tool.  </w:t>
      </w:r>
    </w:p>
  </w:footnote>
  <w:footnote w:id="22">
    <w:p>
      <w:pPr>
        <w:pStyle w:val="FootnoteText"/>
        <w:widowControl w:val="false"/>
        <w:spacing w:before="0" w:after="120"/>
        <w:ind w:hanging="720" w:start="720" w:end="0"/>
        <w:rPr/>
      </w:pPr>
      <w:r>
        <w:rPr>
          <w:rStyle w:val="FootnoteCharacters"/>
        </w:rPr>
        <w:footnoteRef/>
      </w:r>
      <w:r>
        <w:rPr/>
        <w:tab/>
        <w:t xml:space="preserve">Transport regulation under the aegis of the ICC has treated “discrimination” in different ways.  Perhaps the best summary was given thirty-five years ago when Wilson noted that “commodity discrimination is eulogized, place discrimination tolerated under special circumstances, and personal discrimination outlawed.”  Wilson, “The effect of rate regulation on resource allocation in transportation,” </w:t>
      </w:r>
      <w:r>
        <w:rPr>
          <w:i/>
        </w:rPr>
        <w:t>Amer. Econ. Rev.</w:t>
      </w:r>
      <w:r>
        <w:rPr/>
        <w:t xml:space="preserve"> (May 1964)  However, efforts to ensure rate uniformity within a commodity class across all shippers, as the post-Staggers Act era suggests, may have resulted in higher prices for all shippers, albeit by differing amounts.</w:t>
      </w:r>
    </w:p>
  </w:footnote>
  <w:footnote w:id="23">
    <w:p>
      <w:pPr>
        <w:pStyle w:val="FootnoteText"/>
        <w:widowControl w:val="false"/>
        <w:spacing w:before="0" w:after="120"/>
        <w:ind w:hanging="720" w:start="720" w:end="0"/>
        <w:rPr/>
      </w:pPr>
      <w:r>
        <w:rPr>
          <w:rStyle w:val="FootnoteCharacters"/>
        </w:rPr>
        <w:footnoteRef/>
      </w:r>
      <w:r>
        <w:rPr/>
        <w:tab/>
        <w:t xml:space="preserve"> Service Contracts Subject to The Shipping Act of 1984, April 28, 1999.  The Federal Maritime Commission, 46 CFR Pats 514 and 530, Docket No. 98-30,discussion in section C. </w:t>
      </w:r>
      <w:r>
        <w:rPr>
          <w:rFonts w:cs="Lucida Sans Unicode;Tahoma" w:ascii="Lucida Sans Unicode;Tahoma" w:hAnsi="Lucida Sans Unicode;Tahoma"/>
        </w:rPr>
        <w:t>§</w:t>
      </w:r>
      <w:r>
        <w:rPr/>
        <w:t xml:space="preserve"> 530.4 Confidentiality, summaries objections to the initial rules.</w:t>
      </w:r>
    </w:p>
  </w:footnote>
  <w:footnote w:id="24">
    <w:p>
      <w:pPr>
        <w:pStyle w:val="FootnoteText"/>
        <w:spacing w:before="0" w:after="120"/>
        <w:jc w:val="start"/>
        <w:rPr/>
      </w:pPr>
      <w:r>
        <w:rPr>
          <w:rStyle w:val="FootnoteCharacters"/>
        </w:rPr>
        <w:footnoteRef/>
      </w:r>
      <w:r>
        <w:rPr/>
        <w:tab/>
        <w:t>Maritime Deregulation, Association of American Railroads, (http:\\www.aar.org/comm/position/ns…/……)</w:t>
      </w:r>
    </w:p>
  </w:footnote>
  <w:footnote w:id="25">
    <w:p>
      <w:pPr>
        <w:pStyle w:val="FootnoteText"/>
        <w:widowControl w:val="false"/>
        <w:spacing w:before="0" w:after="120"/>
        <w:ind w:hanging="720" w:start="720" w:end="0"/>
        <w:rPr/>
      </w:pPr>
      <w:r>
        <w:rPr>
          <w:rStyle w:val="FootnoteCharacters"/>
        </w:rPr>
        <w:footnoteRef/>
      </w:r>
      <w:r>
        <w:rPr/>
        <w:t xml:space="preserve"> </w:t>
      </w:r>
      <w:r>
        <w:rPr/>
        <w:tab/>
        <w:t xml:space="preserve">Bill Mongelluzzo, “Shipping Reform Appears Tranquil, So Far,” </w:t>
      </w:r>
      <w:r>
        <w:rPr>
          <w:i/>
        </w:rPr>
        <w:t>J. of Commerce</w:t>
      </w:r>
      <w:r>
        <w:rPr/>
        <w:t>, June 22, 1999.</w:t>
      </w:r>
    </w:p>
  </w:footnote>
  <w:footnote w:id="26">
    <w:p>
      <w:pPr>
        <w:pStyle w:val="FootnoteText"/>
        <w:widowControl w:val="false"/>
        <w:spacing w:before="0" w:after="120"/>
        <w:ind w:hanging="720" w:start="720" w:end="0"/>
        <w:rPr/>
      </w:pPr>
      <w:r>
        <w:rPr>
          <w:rStyle w:val="FootnoteCharacters"/>
        </w:rPr>
        <w:footnoteRef/>
      </w:r>
      <w:r>
        <w:rPr/>
        <w:t xml:space="preserve"> </w:t>
      </w:r>
      <w:r>
        <w:rPr/>
        <w:tab/>
        <w:t xml:space="preserve">Tim Sanbury, “Ship Lines Fear Filing Snafu May Thwart Reform,” </w:t>
      </w:r>
      <w:r>
        <w:rPr>
          <w:i/>
        </w:rPr>
        <w:t>J. of Commerce</w:t>
      </w:r>
      <w:r>
        <w:rPr/>
        <w:t>, April 8, 1999.</w:t>
      </w:r>
    </w:p>
  </w:footnote>
  <w:footnote w:id="27">
    <w:p>
      <w:pPr>
        <w:pStyle w:val="FootnoteText"/>
        <w:widowControl w:val="false"/>
        <w:spacing w:before="0" w:after="120"/>
        <w:ind w:hanging="720" w:start="720" w:end="0"/>
        <w:rPr/>
      </w:pPr>
      <w:r>
        <w:rPr>
          <w:rStyle w:val="FootnoteCharacters"/>
        </w:rPr>
        <w:footnoteRef/>
      </w:r>
      <w:r>
        <w:rPr/>
        <w:tab/>
        <w:t>Clott, Christopher, Wilson, Gary S., “Ocean Shipping Deregulation and Maritime Ports: Lessons Learned from Airline Deregulation,” 1999 Transportation Law Journal, University of Denver, 26 Transp. L.J. 205</w:t>
      </w:r>
    </w:p>
  </w:footnote>
  <w:footnote w:id="28">
    <w:p>
      <w:pPr>
        <w:pStyle w:val="FootnoteText"/>
        <w:widowControl w:val="false"/>
        <w:spacing w:before="0" w:after="120"/>
        <w:ind w:hanging="720" w:start="720" w:end="0"/>
        <w:rPr/>
      </w:pPr>
      <w:r>
        <w:rPr>
          <w:rStyle w:val="FootnoteCharacters"/>
        </w:rPr>
        <w:footnoteRef/>
      </w:r>
      <w:r>
        <w:rPr/>
        <w:tab/>
        <w:t>Clott, Wilson, op. cit.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lang w:val="en-CA"/>
      </w:rPr>
    </w:pPr>
    <w:r>
      <w:rPr>
        <w:b/>
        <w:sz w:val="20"/>
        <w:lang w:val="en-CA"/>
      </w:rPr>
      <w:t>Exhibit HWP-2</w:t>
    </w:r>
  </w:p>
  <w:p>
    <w:pPr>
      <w:pStyle w:val="Header"/>
      <w:spacing w:before="0" w:after="240"/>
      <w:rPr>
        <w:b/>
        <w:sz w:val="20"/>
        <w:lang w:val="en-CA"/>
      </w:rPr>
    </w:pPr>
    <w:r>
      <w:rPr>
        <w:b/>
        <w:sz w:val="20"/>
        <w:lang w:val="en-C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b/>
        <w:sz w:val="20"/>
        <w:lang w:val="en-CA"/>
      </w:rPr>
    </w:pPr>
    <w:r>
      <w:rPr>
        <w:b/>
        <w:sz w:val="20"/>
        <w:lang w:val="en-CA"/>
      </w:rPr>
      <w:t>Exhibit HWP-2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rFonts w:ascii="Arial" w:hAnsi="Arial" w:cs="Arial"/>
      </w:r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360"/>
        </w:tabs>
        <w:ind w:start="0" w:hanging="0"/>
      </w:pPr>
    </w:lvl>
    <w:lvl w:ilvl="3">
      <w:start w:val="1"/>
      <w:numFmt w:val="lowerLetter"/>
      <w:lvlText w:val="(%4)"/>
      <w:lvlJc w:val="start"/>
      <w:pPr>
        <w:tabs>
          <w:tab w:val="num" w:pos="2880"/>
        </w:tabs>
        <w:ind w:start="2880" w:hanging="720"/>
      </w:pPr>
    </w:lvl>
    <w:lvl w:ilvl="4">
      <w:start w:val="1"/>
      <w:numFmt w:val="lowerRoman"/>
      <w:lvlText w:val="(%5)"/>
      <w:lvlJc w:val="start"/>
      <w:pPr>
        <w:tabs>
          <w:tab w:val="num" w:pos="216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trailer" w:val="draft"/>
    <w:docVar w:name="TrailerWindowName" w:val="4T7402!.DOC"/>
    <w:docVar w:name="TrlrDateFlag" w:val=" 1"/>
    <w:docVar w:name="TrlrDOSFlag" w:val=" 0"/>
    <w:docVar w:name="TrlrDraftFlag" w:val=" 1"/>
    <w:docVar w:name="TrlrTimeFlag" w:val=" 1"/>
    <w:docVar w:name="TrlrTypeFlag" w:val=" 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Arial" w:hAnsi="Arial" w:eastAsia="Times New Roman;Times New Roman" w:cs="Arial"/>
      <w:color w:val="auto"/>
      <w:spacing w:val="-2"/>
      <w:sz w:val="22"/>
      <w:szCs w:val="20"/>
      <w:lang w:val="en-US" w:eastAsia="zh-CN" w:bidi="hi-IN"/>
    </w:rPr>
  </w:style>
  <w:style w:type="paragraph" w:styleId="Heading1">
    <w:name w:val="heading 1"/>
    <w:basedOn w:val="Normal"/>
    <w:next w:val="Normal"/>
    <w:qFormat/>
    <w:pPr>
      <w:keepNext w:val="true"/>
      <w:keepLines/>
      <w:numPr>
        <w:ilvl w:val="0"/>
        <w:numId w:val="1"/>
      </w:numPr>
      <w:ind w:hanging="0" w:start="0" w:end="1454"/>
      <w:jc w:val="start"/>
      <w:outlineLvl w:val="0"/>
    </w:pPr>
    <w:rPr>
      <w:b/>
      <w:caps/>
      <w:sz w:val="24"/>
    </w:rPr>
  </w:style>
  <w:style w:type="paragraph" w:styleId="Heading2">
    <w:name w:val="heading 2"/>
    <w:basedOn w:val="Heading1"/>
    <w:next w:val="Normal"/>
    <w:qFormat/>
    <w:pPr>
      <w:numPr>
        <w:ilvl w:val="1"/>
        <w:numId w:val="1"/>
      </w:numPr>
      <w:tabs>
        <w:tab w:val="clear" w:pos="720"/>
      </w:tabs>
      <w:ind w:hanging="0" w:start="1440" w:end="1454"/>
      <w:outlineLvl w:val="1"/>
    </w:pPr>
    <w:rPr>
      <w:caps w:val="false"/>
      <w:smallCaps w:val="false"/>
    </w:rPr>
  </w:style>
  <w:style w:type="paragraph" w:styleId="Heading3">
    <w:name w:val="heading 3"/>
    <w:basedOn w:val="Heading1"/>
    <w:next w:val="Normal"/>
    <w:qFormat/>
    <w:pPr>
      <w:numPr>
        <w:ilvl w:val="2"/>
        <w:numId w:val="1"/>
      </w:numPr>
      <w:outlineLvl w:val="2"/>
    </w:pPr>
    <w:rPr>
      <w:b w:val="false"/>
      <w:i/>
      <w:caps w:val="false"/>
      <w:smallCaps w:val="false"/>
    </w:rPr>
  </w:style>
  <w:style w:type="paragraph" w:styleId="Heading4">
    <w:name w:val="heading 4"/>
    <w:basedOn w:val="Normal"/>
    <w:next w:val="Normal"/>
    <w:qFormat/>
    <w:pPr>
      <w:keepNext w:val="true"/>
      <w:spacing w:lineRule="auto" w:line="480"/>
      <w:outlineLvl w:val="3"/>
    </w:pPr>
    <w:rPr>
      <w:b/>
      <w:sz w:val="24"/>
    </w:rPr>
  </w:style>
  <w:style w:type="paragraph" w:styleId="Heading5">
    <w:name w:val="heading 5"/>
    <w:basedOn w:val="Normal"/>
    <w:next w:val="Normal"/>
    <w:qFormat/>
    <w:pPr>
      <w:keepNext w:val="true"/>
      <w:outlineLvl w:val="4"/>
    </w:pPr>
    <w:rPr>
      <w:sz w:val="24"/>
      <w:u w:val="single"/>
    </w:rPr>
  </w:style>
  <w:style w:type="paragraph" w:styleId="Heading6">
    <w:name w:val="heading 6"/>
    <w:basedOn w:val="Normal"/>
    <w:next w:val="Normal"/>
    <w:qFormat/>
    <w:pPr>
      <w:keepNext w:val="true"/>
      <w:spacing w:lineRule="auto" w:line="480"/>
      <w:ind w:firstLine="720" w:start="0" w:end="0"/>
      <w:outlineLvl w:val="5"/>
    </w:pPr>
    <w:rPr>
      <w:b/>
      <w:sz w:val="24"/>
    </w:rPr>
  </w:style>
  <w:style w:type="paragraph" w:styleId="Heading7">
    <w:name w:val="heading 7"/>
    <w:basedOn w:val="Normal"/>
    <w:next w:val="Normal"/>
    <w:qFormat/>
    <w:pPr>
      <w:keepNext w:val="true"/>
      <w:widowControl w:val="false"/>
      <w:spacing w:lineRule="auto" w:line="480" w:before="0" w:after="0"/>
      <w:jc w:val="center"/>
      <w:outlineLvl w:val="6"/>
    </w:pPr>
    <w:rPr>
      <w:b/>
      <w:sz w:val="24"/>
    </w:rPr>
  </w:style>
  <w:style w:type="paragraph" w:styleId="Heading8">
    <w:name w:val="heading 8"/>
    <w:basedOn w:val="Normal"/>
    <w:next w:val="Normal"/>
    <w:qFormat/>
    <w:pPr>
      <w:spacing w:before="240" w:after="60"/>
      <w:jc w:val="start"/>
      <w:outlineLvl w:val="7"/>
    </w:pPr>
    <w:rPr>
      <w:i/>
      <w:spacing w:val="0"/>
      <w:sz w:val="20"/>
    </w:rPr>
  </w:style>
  <w:style w:type="paragraph" w:styleId="Heading9">
    <w:name w:val="heading 9"/>
    <w:basedOn w:val="Normal"/>
    <w:next w:val="Normal"/>
    <w:qFormat/>
    <w:pPr>
      <w:spacing w:before="240" w:after="60"/>
      <w:jc w:val="start"/>
      <w:outlineLvl w:val="8"/>
    </w:pPr>
    <w:rPr>
      <w:b/>
      <w:i/>
      <w:spacing w:val="0"/>
      <w:sz w:val="18"/>
    </w:rPr>
  </w:style>
  <w:style w:type="character" w:styleId="WW8Num1z0">
    <w:name w:val="WW8Num1z0"/>
    <w:qFormat/>
    <w:rPr>
      <w:b/>
    </w:rPr>
  </w:style>
  <w:style w:type="character" w:styleId="WW8Num2z0">
    <w:name w:val="WW8Num2z0"/>
    <w:qFormat/>
    <w:rPr>
      <w:b/>
    </w:rPr>
  </w:style>
  <w:style w:type="character" w:styleId="WW8Num4z0">
    <w:name w:val="WW8Num4z0"/>
    <w:qFormat/>
    <w:rPr>
      <w:b/>
    </w:rPr>
  </w:style>
  <w:style w:type="character" w:styleId="WW8Num5z0">
    <w:name w:val="WW8Num5z0"/>
    <w:qFormat/>
    <w:rPr>
      <w:rFonts w:ascii="Arial" w:hAnsi="Arial" w:cs="Arial"/>
    </w:rPr>
  </w:style>
  <w:style w:type="character" w:styleId="WW8Num6z0">
    <w:name w:val="WW8Num6z0"/>
    <w:qFormat/>
    <w:rPr>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sz w:val="2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Normal"/>
    <w:pPr>
      <w:numPr>
        <w:ilvl w:val="0"/>
        <w:numId w:val="3"/>
      </w:numPr>
      <w:tabs>
        <w:tab w:val="clear" w:pos="720"/>
        <w:tab w:val="left" w:pos="1440" w:leader="none"/>
      </w:tabs>
      <w:spacing w:lineRule="auto" w:line="480"/>
      <w:ind w:hanging="720" w:start="144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e">
    <w:name w:val="singlespace"/>
    <w:basedOn w:val="Normal"/>
    <w:qFormat/>
    <w:pPr>
      <w:spacing w:before="0" w:after="0"/>
    </w:pPr>
    <w:rPr/>
  </w:style>
  <w:style w:type="paragraph" w:styleId="extract">
    <w:name w:val="extract"/>
    <w:basedOn w:val="Normal"/>
    <w:next w:val="Normal"/>
    <w:qFormat/>
    <w:pPr>
      <w:spacing w:before="40" w:after="280"/>
      <w:ind w:hanging="0" w:start="720" w:end="720"/>
    </w:pPr>
    <w:rPr/>
  </w:style>
  <w:style w:type="paragraph" w:styleId="FootnoteText">
    <w:name w:val="footnote text"/>
    <w:basedOn w:val="Normal"/>
    <w:pPr>
      <w:widowControl w:val="false"/>
      <w:spacing w:before="0" w:after="120"/>
      <w:ind w:hanging="720" w:start="720" w:end="0"/>
    </w:pPr>
    <w:rPr>
      <w:spacing w:val="0"/>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 w:val="right" w:pos="12960" w:leader="none"/>
      </w:tabs>
      <w:spacing w:before="0" w:after="0"/>
    </w:pPr>
    <w:rPr/>
  </w:style>
  <w:style w:type="paragraph" w:styleId="bullet1">
    <w:name w:val="bullet1"/>
    <w:basedOn w:val="Normal"/>
    <w:qFormat/>
    <w:pPr>
      <w:numPr>
        <w:ilvl w:val="0"/>
        <w:numId w:val="2"/>
      </w:numPr>
      <w:spacing w:before="0" w:after="180"/>
      <w:ind w:hanging="432" w:start="1170" w:end="720"/>
    </w:pPr>
    <w:rPr/>
  </w:style>
  <w:style w:type="paragraph" w:styleId="bullet2">
    <w:name w:val="bullet2"/>
    <w:basedOn w:val="bullet1"/>
    <w:qFormat/>
    <w:pPr>
      <w:ind w:hanging="432" w:start="1440" w:end="720"/>
    </w:pPr>
    <w:rPr/>
  </w:style>
  <w:style w:type="paragraph" w:styleId="bullet3">
    <w:name w:val="bullet3"/>
    <w:basedOn w:val="bullet2"/>
    <w:qFormat/>
    <w:pPr>
      <w:ind w:hanging="432" w:start="1800" w:end="720"/>
    </w:pPr>
    <w:rPr/>
  </w:style>
  <w:style w:type="paragraph" w:styleId="PlainText">
    <w:name w:val="Plain Text"/>
    <w:basedOn w:val="Normal"/>
    <w:qFormat/>
    <w:pPr>
      <w:spacing w:before="0" w:after="0"/>
      <w:jc w:val="start"/>
    </w:pPr>
    <w:rPr>
      <w:rFonts w:ascii="Courier New" w:hAnsi="Courier New" w:cs="Courier New"/>
      <w:spacing w:val="0"/>
      <w:sz w:val="20"/>
    </w:rPr>
  </w:style>
  <w:style w:type="paragraph" w:styleId="BodyText2">
    <w:name w:val="Body Text 2"/>
    <w:basedOn w:val="Normal"/>
    <w:qFormat/>
    <w:pPr>
      <w:spacing w:lineRule="auto" w:line="480" w:before="0" w:after="0"/>
    </w:pPr>
    <w:rPr>
      <w:rFonts w:ascii="Helvetica" w:hAnsi="Helvetica" w:cs="Helvetica"/>
      <w:sz w:val="24"/>
    </w:rPr>
  </w:style>
  <w:style w:type="paragraph" w:styleId="BodyTextIndent">
    <w:name w:val="Body Text Indent"/>
    <w:basedOn w:val="Normal"/>
    <w:pPr>
      <w:ind w:hanging="0" w:start="1440" w:end="1440"/>
    </w:pPr>
    <w:rPr>
      <w:sz w:val="24"/>
    </w:rPr>
  </w:style>
  <w:style w:type="paragraph" w:styleId="BodyTextIndent2">
    <w:name w:val="Body Text Indent 2"/>
    <w:basedOn w:val="Normal"/>
    <w:qFormat/>
    <w:pPr>
      <w:spacing w:lineRule="auto" w:line="360" w:before="0" w:after="0"/>
      <w:ind w:firstLine="720" w:start="0" w:end="0"/>
    </w:pPr>
    <w:rPr>
      <w:rFonts w:ascii="Courier New" w:hAnsi="Courier New" w:cs="Courier New"/>
      <w:spacing w:val="0"/>
      <w:sz w:val="24"/>
    </w:rPr>
  </w:style>
  <w:style w:type="paragraph" w:styleId="BodyTextIndent3">
    <w:name w:val="Body Text Indent 3"/>
    <w:basedOn w:val="Normal"/>
    <w:qFormat/>
    <w:pPr>
      <w:ind w:firstLine="720" w:start="720" w:end="0"/>
    </w:pPr>
    <w:rPr>
      <w:sz w:val="24"/>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spacing w:lineRule="auto" w:line="480"/>
      <w:ind w:hanging="0" w:start="720" w:end="0"/>
      <w:jc w:val="start"/>
    </w:pPr>
    <w:rPr>
      <w:spacing w:val="0"/>
      <w:sz w:val="24"/>
    </w:rPr>
  </w:style>
  <w:style w:type="paragraph" w:styleId="Answer">
    <w:name w:val="Answer"/>
    <w:basedOn w:val="Normal"/>
    <w:qFormat/>
    <w:pPr>
      <w:spacing w:lineRule="auto" w:line="360"/>
      <w:ind w:hanging="720" w:start="720" w:end="0"/>
    </w:pPr>
    <w:rPr/>
  </w:style>
  <w:style w:type="paragraph" w:styleId="BodyText3">
    <w:name w:val="Body Text 3"/>
    <w:basedOn w:val="Normal"/>
    <w:qFormat/>
    <w:pPr>
      <w:spacing w:lineRule="auto" w:line="480"/>
      <w:ind w:hanging="0" w:start="0" w:end="-9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sxrealproperty.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1999-06-24T13:39:00Z</dcterms:created>
  <dc:creator>MGERGEN</dc:creator>
  <dc:description/>
  <dc:language>en-CA</dc:language>
  <cp:lastModifiedBy>  </cp:lastModifiedBy>
  <cp:lastPrinted>1999-06-24T09:15:00Z</cp:lastPrinted>
  <dcterms:modified xsi:type="dcterms:W3CDTF">1999-06-24T13:39:00Z</dcterms:modified>
  <cp:revision>2</cp:revision>
  <dc:subject/>
  <dc:title>MG: PHB/Pifer draft affidavit</dc:title>
</cp:coreProperties>
</file>