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space"/>
        <w:jc w:val="center"/>
        <w:rPr>
          <w:b/>
          <w:sz w:val="24"/>
        </w:rPr>
      </w:pPr>
      <w:r>
        <w:rPr>
          <w:b/>
          <w:sz w:val="24"/>
        </w:rPr>
        <w:t>UNITED STATES OF AMERICA</w:t>
      </w:r>
    </w:p>
    <w:p>
      <w:pPr>
        <w:pStyle w:val="singlespace"/>
        <w:jc w:val="center"/>
        <w:rPr>
          <w:b/>
          <w:sz w:val="24"/>
        </w:rPr>
      </w:pPr>
      <w:r>
        <w:rPr>
          <w:b/>
          <w:sz w:val="24"/>
        </w:rPr>
        <w:t>BEFORE THE</w:t>
      </w:r>
    </w:p>
    <w:p>
      <w:pPr>
        <w:pStyle w:val="singlespace"/>
        <w:jc w:val="center"/>
        <w:rPr>
          <w:b/>
          <w:sz w:val="24"/>
        </w:rPr>
      </w:pPr>
      <w:r>
        <w:rPr>
          <w:b/>
          <w:sz w:val="24"/>
        </w:rPr>
        <w:t>FEDERAL ENERGY REGULATORY COMMISSION</w:t>
      </w:r>
    </w:p>
    <w:p>
      <w:pPr>
        <w:pStyle w:val="Normal"/>
        <w:rPr>
          <w:b/>
          <w:sz w:val="24"/>
        </w:rPr>
      </w:pPr>
      <w:r>
        <w:rPr>
          <w:b/>
          <w:sz w:val="24"/>
        </w:rPr>
      </w:r>
    </w:p>
    <w:p>
      <w:pPr>
        <w:pStyle w:val="singlespace"/>
        <w:tabs>
          <w:tab w:val="clear" w:pos="720"/>
          <w:tab w:val="center" w:pos="4680" w:leader="none"/>
          <w:tab w:val="right" w:pos="9324" w:leader="none"/>
        </w:tabs>
        <w:rPr>
          <w:b/>
        </w:rPr>
      </w:pPr>
      <w:r>
        <w:rPr>
          <w:b/>
        </w:rPr>
        <w:t>NAME</w:t>
        <w:tab/>
        <w:t>)</w:t>
        <w:tab/>
        <w:t xml:space="preserve"> Docket No. ER96-2573-001</w:t>
      </w:r>
    </w:p>
    <w:p>
      <w:pPr>
        <w:pStyle w:val="Normal"/>
        <w:rPr>
          <w:b/>
          <w:sz w:val="24"/>
        </w:rPr>
      </w:pPr>
      <w:r>
        <w:rPr>
          <w:b/>
          <w:sz w:val="24"/>
        </w:rPr>
      </w:r>
    </w:p>
    <w:p>
      <w:pPr>
        <w:pStyle w:val="Normal"/>
        <w:jc w:val="center"/>
        <w:rPr>
          <w:b/>
          <w:sz w:val="24"/>
        </w:rPr>
      </w:pPr>
      <w:r>
        <w:rPr>
          <w:b/>
          <w:sz w:val="24"/>
        </w:rPr>
        <w:t>AFFIDAVIT OF HOWARD PIFER</w:t>
      </w:r>
    </w:p>
    <w:p>
      <w:pPr>
        <w:pStyle w:val="Normal"/>
        <w:jc w:val="center"/>
        <w:rPr>
          <w:b/>
          <w:sz w:val="24"/>
        </w:rPr>
      </w:pPr>
      <w:r>
        <w:rPr>
          <w:b/>
          <w:sz w:val="24"/>
        </w:rPr>
      </w:r>
    </w:p>
    <w:p>
      <w:pPr>
        <w:pStyle w:val="Heading1"/>
        <w:rPr/>
      </w:pPr>
      <w:r>
        <w:rPr/>
        <w:t>INTRODUCTION</w:t>
      </w:r>
    </w:p>
    <w:p>
      <w:pPr>
        <w:pStyle w:val="BodyText"/>
        <w:rPr/>
      </w:pPr>
      <w:r>
        <w:rPr/>
        <w:tab/>
        <w:t xml:space="preserve">I, Howard Pifer, am an economist and founder of Putnam, Hayes and Bartlett, which became part of PHB Hagler Bailly (“PHB”) in 1998.  Currently, I am Chairman of the Board of PHB and its parent Hagler Bailly, Inc.  PHB is a firm of economic and management consultants with 9 offices in the U.S. and 17 offices outside the U.S.  In recent years, my primary professional focus has been in the areas of restructuring the electric utility industry (both internationally and in the United States) and developing utility strategic responses to a changing marketplace.  I have been deeply involved in the restructuring in Australia (Victoria, South Australia and the National Electricity Market) and New Zealand, Hong Kong and Singapore, Spain and Norway, and the United Kingdom (England and Wales, as well as Scotland).  I also continue to spend much of my time consulting to governments and electric and gas utilities in the Asia-Pacific region as well as the United Kingdom.  </w:t>
      </w:r>
    </w:p>
    <w:p>
      <w:pPr>
        <w:pStyle w:val="BodyText"/>
        <w:rPr/>
      </w:pPr>
      <w:r>
        <w:rPr/>
        <w:tab/>
        <w:t>I received a B.S. in Chemical Engineering from Carnegie Institute of Technology in 1963 and a M.S. in Industrial Administration from the same institution in 1966.  In 1969, I received a Ph.D. in Economics from Carnegie Mellon University.  A more complete description of my qualifications is contained in Exhibit HWP-1.</w:t>
      </w:r>
    </w:p>
    <w:p>
      <w:pPr>
        <w:pStyle w:val="Heading1"/>
        <w:rPr/>
      </w:pPr>
      <w:r>
        <w:rPr/>
        <w:t>Overview</w:t>
      </w:r>
    </w:p>
    <w:p>
      <w:pPr>
        <w:pStyle w:val="BodyText"/>
        <w:rPr/>
      </w:pPr>
      <w:r>
        <w:rPr/>
        <w:tab/>
        <w:t xml:space="preserve">The Commission has proposed requiring all jurisdictional electricity suppliers to file and make available for public inspection any “long-term” contracts they may negotiate, a requirement that would fall primarily on power marketers. The long-term contracts at issue arise in cases where FERC has already found that the suppliers in question are not dominant, so that the potential ability to exercise market power apparently is not an issue.  Instead, the Commission believes that such a requirement would not impede flexibility or efficiency in the long-term market, nor impose any undue reporting burden.  While these are important considerations, other factors strongly suggest that such a policy would not be in the public interest and would unintentionally harm the competitive markets that the Commission otherwise has been promoting.  First, the filing requirement would create substantial uncertainty about the termination of long-term contracts upon customer default because of other parts of the Commission's regulations.  This uncertainty could reduce market liquidity due to inefficient credit risk management.  It also could lead to contractual requirements for excessive collateral, which would be an expensive and inefficient use of capital that would be reflected in higher electricity prices, and it could exclude market participants unable to provide such collateral who otherwise would be willing to assume the default risk directly.  Second, the disclosure requirement effectively would prevent parties from including market sensitive information in the contract and thereby limit the parties ability to deal with idiosyncratic issues such as risk sharing and other private matters.  Long term contracts could not be used creatively to address such matters, which will limit innovation in the contracting process itself, thereby reducing the efficiency of the market. </w:t>
      </w:r>
    </w:p>
    <w:p>
      <w:pPr>
        <w:pStyle w:val="BodyText"/>
        <w:rPr/>
      </w:pPr>
      <w:r>
        <w:rPr/>
        <w:tab/>
        <w:t>Moreover, the requirement would be imposed on non-standard products where it is not needed, as opposed to standardized products, such as spot power or futures contracts where price transparency is needed, but already exists.  Additional information about non-standard products is not necessarily in the public interest if the effect is to reveal confidential information or more likely to prevent parties from addressing confidential matters in the first instance.  Finally, a disclosure requirement is not needed to protect customers against undue price discrimination.  Competitive markets can do that job.  In fact, a greater risk is that such a requirement would cause markets to equalize prices in circumstances when it would be economically inefficient to do so.</w:t>
      </w:r>
    </w:p>
    <w:p>
      <w:pPr>
        <w:pStyle w:val="BodyText"/>
        <w:rPr/>
      </w:pPr>
      <w:r>
        <w:rPr/>
        <w:tab/>
        <w:t>Not surprisingly, the requirement proposed by FERC is relatively unique.  Given its risks and benefits, other countries have not imposed such a requirement on their deregulated electricity sectors.  Likewise, such a requirement generally has been rejected by other U.S. regulatory agencies in the context of their deregulation programs in other industries.</w:t>
      </w:r>
    </w:p>
    <w:p>
      <w:pPr>
        <w:pStyle w:val="Heading1"/>
        <w:rPr/>
      </w:pPr>
      <w:r>
        <w:rPr/>
        <w:t>Disclosure of Private Contracts Would LESSEN COMPETITION</w:t>
      </w:r>
    </w:p>
    <w:p>
      <w:pPr>
        <w:pStyle w:val="BodyText"/>
        <w:rPr/>
      </w:pPr>
      <w:r>
        <w:rPr/>
        <w:tab/>
        <w:t xml:space="preserve">The long-term contracts at issue in this case address a variety of economic conditions that can go beyond the plain vanilla commodity dimension of electricity.  Such contracts may contain information about various capabilities of a generating unit that in certain circumstances would be valuable to competitors.  These include factors that describe the flexibility with which the unit can be operated in response to market conditions.  Such contracts may describe the risk sharing arrangements between the buyer and the seller that address financial risk occurring in the spot and futures markets.  </w:t>
      </w:r>
    </w:p>
    <w:p>
      <w:pPr>
        <w:pStyle w:val="BodyText"/>
        <w:rPr/>
      </w:pPr>
      <w:r>
        <w:rPr/>
        <w:tab/>
        <w:t>Moreover, these contracts may address the contracting parties responsibilities in certain contingencies.  Long-term contracts contain information that is proprietary to the transacting parties, both the sellers and the buyers.  Release of such data will cause substantial anti-competitive injury and ultimately harm customers for reasons described below.</w:t>
      </w:r>
    </w:p>
    <w:p>
      <w:pPr>
        <w:pStyle w:val="Heading2"/>
        <w:tabs>
          <w:tab w:val="left" w:pos="720" w:leader="none"/>
        </w:tabs>
        <w:rPr/>
      </w:pPr>
      <w:r>
        <w:rPr/>
        <w:t>Compulsory Disclosure May Inefficiently Deter Long-Term Contracting</w:t>
      </w:r>
    </w:p>
    <w:p>
      <w:pPr>
        <w:pStyle w:val="BodyText"/>
        <w:rPr/>
      </w:pPr>
      <w:r>
        <w:rPr/>
        <w:tab/>
        <w:t>The Commission's mandatory disclosure rule cannot be analyzed independent from other, existing, FERC rules and requirements that are not presently under review or consideration for modification.</w:t>
      </w:r>
      <w:r>
        <w:rPr>
          <w:rStyle w:val="FootnoteCharacters"/>
          <w:rStyle w:val="FootnoteReference"/>
        </w:rPr>
        <w:footnoteReference w:id="2"/>
      </w:r>
      <w:r>
        <w:rPr/>
        <w:t xml:space="preserve">  For example, it is my understanding that contracts filed with the Commission may only be terminated after submission to, and subsequent acceptance by, the Commission of the termination notice. That is, the Commission's regulations require performance by a wholesale seller until a notice of cancellation has been filed and accepted, which may take anywhere from 60 days to many months.</w:t>
      </w:r>
      <w:r>
        <w:rPr>
          <w:rStyle w:val="FootnoteCharacters"/>
          <w:rStyle w:val="FootnoteReference"/>
        </w:rPr>
        <w:footnoteReference w:id="3"/>
      </w:r>
      <w:r>
        <w:rPr/>
        <w:t xml:space="preserve">  This requirement may in and of itself undermine the use of long-term contracting and raise the price of electricity. It is important to recognize that this outcome in no way depends upon the existence of market power, unilateral or shared, or upon arguments tied to tacit or overt collusion.  This problem may arise in an otherwise structurally competitive market where firms are free to enter or exit in a timely way.</w:t>
      </w:r>
    </w:p>
    <w:p>
      <w:pPr>
        <w:pStyle w:val="BodyText"/>
        <w:rPr/>
      </w:pPr>
      <w:r>
        <w:rPr/>
        <w:tab/>
        <w:t>Today, electricity sellers can terminate long-term supply whenever a buyer defaults.</w:t>
      </w:r>
      <w:r>
        <w:rPr>
          <w:rStyle w:val="FootnoteCharacters"/>
          <w:rStyle w:val="FootnoteReference"/>
        </w:rPr>
        <w:footnoteReference w:id="4"/>
      </w:r>
      <w:r>
        <w:rPr/>
        <w:t xml:space="preserve">  Under a disclosed contract, termination would depend upon FERC approval and such approval delays termination.  This means that suppliers selling to any buyer will expect to have larger losses—continuing to be required to provide electric power for which full (or any) compensation will not be paid—whenever a buyer does default.   Sellers may react to this in several ways.  They may require buyers to increase collateral (assets) linked to the power supply contract as security, thus limiting the availability of these assets to the buyer for other purposes e.g. securing loans for capital equipment.  Sellers may also alter the credit terms made available to buyers in other ways as well.  This may undermine the liquidity of the market.  These reactions by competitive sellers reacting to higher costs of doing business invariably tends to raise the effective price (cost) paid for electricity by buyers as a class and that increase in cost will be passed on to final, retail, consumers.</w:t>
      </w:r>
    </w:p>
    <w:p>
      <w:pPr>
        <w:pStyle w:val="BodyText"/>
        <w:rPr/>
      </w:pPr>
      <w:r>
        <w:rPr/>
        <w:tab/>
        <w:t xml:space="preserve">The combination of FERC’s proposed disclosure rules and FERC’s existing contract termination rules may result in the market for long-term power contracts failing or “unraveling” for another reason.  Low risk buyers may, in effect, be asked to cross-subsidize higher risk buyers whenever sellers cannot, despite actions buyers may take, perfectly distinguish between potential customers based upon their </w:t>
      </w:r>
      <w:r>
        <w:rPr>
          <w:i/>
        </w:rPr>
        <w:t>ex</w:t>
      </w:r>
      <w:r>
        <w:rPr/>
        <w:t>-</w:t>
      </w:r>
      <w:r>
        <w:rPr>
          <w:i/>
        </w:rPr>
        <w:t>ante</w:t>
      </w:r>
      <w:r>
        <w:rPr/>
        <w:t xml:space="preserve"> risks of defaulting.</w:t>
      </w:r>
      <w:r>
        <w:rPr>
          <w:rStyle w:val="FootnoteCharacters"/>
          <w:rStyle w:val="FootnoteReference"/>
        </w:rPr>
        <w:footnoteReference w:id="5"/>
      </w:r>
      <w:r>
        <w:rPr/>
        <w:t xml:space="preserve"> To be quite clear, currently power sellers cannot be certain that their customers will always fulfill the terms of the contracts they sign.   The world does contain commercial risk.  Buyers and sellers seek ways of minimizing the risk and also seek ways of signaling risk status or credibly committing to bear the consequences of outcomes over which the buyer (alternatively, seller) has control.  Electricity sellers do seek to distinguish high risk from low risk buyers.  Buyers seek to distinguish themselves from one another by, for example, the amount of collateral they will use to secure a long-term supply agreement.  The discussion below recognizes that sellers and buyers seek to distinguish one another based on risk, but that some ways of doing so are less costly than others.</w:t>
      </w:r>
      <w:r>
        <w:rPr>
          <w:rStyle w:val="FootnoteCharacters"/>
        </w:rPr>
        <w:t xml:space="preserve"> </w:t>
      </w:r>
      <w:r>
        <w:rPr>
          <w:rStyle w:val="FootnoteCharacters"/>
          <w:rStyle w:val="FootnoteReference"/>
        </w:rPr>
        <w:footnoteReference w:id="6"/>
      </w:r>
    </w:p>
    <w:p>
      <w:pPr>
        <w:pStyle w:val="BodyText"/>
        <w:rPr/>
      </w:pPr>
      <w:r>
        <w:rPr/>
        <w:tab/>
        <w:t>Buyers select contract length and other commercial terms from the menu of possible alternatives.</w:t>
      </w:r>
      <w:r>
        <w:rPr>
          <w:rStyle w:val="FootnoteCharacters"/>
          <w:b/>
        </w:rPr>
        <w:t xml:space="preserve"> </w:t>
      </w:r>
      <w:r>
        <w:rPr>
          <w:rStyle w:val="FootnoteCharacters"/>
          <w:rStyle w:val="FootnoteReference"/>
        </w:rPr>
        <w:footnoteReference w:id="7"/>
      </w:r>
      <w:r>
        <w:rPr/>
        <w:t xml:space="preserve">  Similarly, sellers offer menus of contracts to profitably match service options to customer requirements and customer characteristics.  Suppose a buyer has a low (high) probability of defaulting and the contract is private.  Since the long-term contract is </w:t>
      </w:r>
      <w:r>
        <w:rPr>
          <w:i/>
        </w:rPr>
        <w:t>not</w:t>
      </w:r>
      <w:r>
        <w:rPr/>
        <w:t xml:space="preserve"> filed at the Commission the seller does not face the prospect of bearing costs of power delivered but not paid for.  In a useful sense, the costs of default will be borne by the buyer.  The seller can simply stop supplying electricity for which payment is now in doubt.</w:t>
      </w:r>
      <w:r>
        <w:rPr>
          <w:rStyle w:val="FootnoteCharacters"/>
          <w:rStyle w:val="FootnoteReference"/>
        </w:rPr>
        <w:footnoteReference w:id="8"/>
      </w:r>
      <w:r>
        <w:rPr/>
        <w:t xml:space="preserve">  Take simplest case, where the only default cost would be the cost of power delivered but not paid for and contract termination occurs precisely upon default so the sellers have no uncollected accounts receivable.  The seller’s price for electric power in this example may be the same for each class of buyer, riskless and risky, because that price is based upon generation, service interruption and transmission costs unrelated to buyer risk.  Neither risky nor riskless buyers subsidize one another because each bears the cost of its own default.</w:t>
      </w:r>
    </w:p>
    <w:p>
      <w:pPr>
        <w:pStyle w:val="BodyText"/>
        <w:rPr/>
      </w:pPr>
      <w:r>
        <w:rPr/>
        <w:tab/>
        <w:t>Under the Commission's mandatory disclosure rule, however, unless the electricity supplier can (1) accurately assess differences in buyer default risk and (2) set rates based upon differences in riskiness, the electricity seller must find another way to handle any costs imposed upon it whenever a buyer defaults, but the supplier must continue to serve.  The supplier may react to the problem of default cost-shifting from buyers as a class, haing the supplier raise rates to all customers by an amount that covers the expected default risk.  That is, low risk buyers tend to subsidize high-risk buyers through the price paid to the seller.</w:t>
      </w:r>
    </w:p>
    <w:p>
      <w:pPr>
        <w:pStyle w:val="BodyText"/>
        <w:rPr/>
      </w:pPr>
      <w:r>
        <w:rPr/>
        <w:tab/>
        <w:t xml:space="preserve">This “tax” has a different impact on low- and high-risk buyers, however.  The former find that the full cost of electricity purchased under a long-term arrangement filed with FERC </w:t>
      </w:r>
      <w:r>
        <w:rPr>
          <w:i/>
        </w:rPr>
        <w:t>rises</w:t>
      </w:r>
      <w:r>
        <w:rPr/>
        <w:t xml:space="preserve">, while it </w:t>
      </w:r>
      <w:r>
        <w:rPr>
          <w:i/>
        </w:rPr>
        <w:t>falls</w:t>
      </w:r>
      <w:r>
        <w:rPr/>
        <w:t xml:space="preserve"> for high default risk buyers.  Provided that spot contracts are not filed, the value to each buyer of a series of spot contracts remains unchanged.</w:t>
      </w:r>
      <w:r>
        <w:rPr>
          <w:rStyle w:val="FootnoteCharacters"/>
          <w:rStyle w:val="FootnoteReference"/>
        </w:rPr>
        <w:footnoteReference w:id="9"/>
      </w:r>
      <w:r>
        <w:rPr/>
        <w:t xml:space="preserve"> </w:t>
      </w:r>
    </w:p>
    <w:p>
      <w:pPr>
        <w:pStyle w:val="BodyText"/>
        <w:rPr/>
      </w:pPr>
      <w:r>
        <w:rPr/>
        <w:tab/>
        <w:t xml:space="preserve">Low-risk buyers find that the value to them of a long-term arrangement is now less than the value of the equivalent duration set of spot contracts, together with any hedging arrangements they may choose.  Hence, they cease entering into long-term agreements precisely because electricity suppliers have been forced to raise the price to these customers.  The reverse may be true for high-risk buyers.  High risk buyers, whose risk is being subsidized, are more willing to enter into long-term contracts than they had been before.  The mandatory disclosure rule </w:t>
      </w:r>
      <w:r>
        <w:rPr>
          <w:i/>
        </w:rPr>
        <w:t>may</w:t>
      </w:r>
      <w:r>
        <w:rPr/>
        <w:t xml:space="preserve"> alter the risk characteristics of the customer pool as viewed by the electricity seller from one in which each customer bears their own risk of default to one in which the pool of customers willing to enter long-term arrangements contains high default buyers.  Mandatory disclosure  may cause low-risk buyers who had been willing to enter into long-term contracts, and who gained by doing so compared to entering a series of spot-contracts of equivalent duration, to now find that the regulation-induced change in relative values has made them strictly worse off.</w:t>
      </w:r>
    </w:p>
    <w:p>
      <w:pPr>
        <w:pStyle w:val="Heading2"/>
        <w:tabs>
          <w:tab w:val="left" w:pos="720" w:leader="none"/>
        </w:tabs>
        <w:rPr/>
      </w:pPr>
      <w:r>
        <w:rPr/>
        <w:t xml:space="preserve">A Disclosure Requirement Could Facilitate Anticompetitive Coordination </w:t>
      </w:r>
    </w:p>
    <w:p>
      <w:pPr>
        <w:pStyle w:val="BodyText"/>
        <w:rPr/>
      </w:pPr>
      <w:r>
        <w:rPr/>
        <w:tab/>
        <w:t>Compulsory public disclosure of long-term wholesale power contracts could impede the evolution toward efficient competitive markets for wholesale power by facilitating anticompetitive coordination among market participants.  The economics literature contains many examples of markets, especially relatively concentrated markets, in which the disclosure of information, like the long-term contracts in this case, serve to reduce competitiveness, not increase it.</w:t>
      </w:r>
      <w:r>
        <w:rPr>
          <w:rStyle w:val="FootnoteCharacters"/>
          <w:rStyle w:val="FootnoteReference"/>
        </w:rPr>
        <w:footnoteReference w:id="10"/>
      </w:r>
    </w:p>
    <w:p>
      <w:pPr>
        <w:pStyle w:val="BodyText"/>
        <w:rPr/>
      </w:pPr>
      <w:r>
        <w:rPr/>
        <w:tab/>
        <w:t>Compulsory contract disclosure is likely to harm consumers of wholesale power (including, ultimately, retail consumers).  For example, such disclosure may lead to or facilitate the use of de facto “most-favored-customer” or "most-favored-nation" ("MFN") clauses in wholesale power contracts.  Such clauses, in turn, may incent market sellers to lessen the extent to which they engage in price competition, and thereby harm consumers.  For example, competitive sellers of wholesale power will be reluctant to agree to reduce their prices (or engage in any other form of efficient discrimination) because any current concession to obtain or retain current business entails a concession elsewhere as well, tipping the balance against such price competition.</w:t>
      </w:r>
      <w:r>
        <w:rPr>
          <w:rStyle w:val="FootnoteCharacters"/>
          <w:rStyle w:val="FootnoteReference"/>
        </w:rPr>
        <w:footnoteReference w:id="11"/>
      </w:r>
      <w:r>
        <w:rPr/>
        <w:t xml:space="preserve"> </w:t>
      </w:r>
    </w:p>
    <w:p>
      <w:pPr>
        <w:pStyle w:val="BodyText"/>
        <w:rPr/>
      </w:pPr>
      <w:r>
        <w:rPr/>
        <w:tab/>
        <w:t>Not surprisingly, antitrust regulators and economists have criticized MFN-type clauses as potentially harmful to competition.</w:t>
      </w:r>
      <w:r>
        <w:rPr>
          <w:rStyle w:val="FootnoteCharacters"/>
          <w:rStyle w:val="FootnoteReference"/>
        </w:rPr>
        <w:footnoteReference w:id="12"/>
      </w:r>
      <w:r>
        <w:rPr/>
        <w:t xml:space="preserve">  For example, as one leading treatise on industrial organization commented on government-imposed MFN clauses in its contracts to purchase Salk polio vaccine in the 1950s:</w:t>
      </w:r>
    </w:p>
    <w:p>
      <w:pPr>
        <w:pStyle w:val="BodyTextIndent"/>
        <w:rPr/>
      </w:pPr>
      <w:r>
        <w:rPr/>
        <w:t>For any firm tempted to cut its price below the prevailing industry level knows its action cannot escape the attention of rivals, and therefore it must fear retaliation on the next round.  It will cut then only if the gain appears to outweigh this clear-cut risk.  In addition, sellers may be reluctant to cut prices below current levels in a sealed bid competition because other large buyers will find out and demand similar price reductions.</w:t>
      </w:r>
      <w:r>
        <w:rPr>
          <w:rStyle w:val="FootnoteCharacters"/>
          <w:rStyle w:val="FootnoteReference"/>
        </w:rPr>
        <w:footnoteReference w:id="13"/>
      </w:r>
    </w:p>
    <w:p>
      <w:pPr>
        <w:pStyle w:val="BodyText"/>
        <w:rPr/>
      </w:pPr>
      <w:r>
        <w:rPr/>
        <w:tab/>
        <w:t>If the Commission's compulsory disclosure of long-term contracts results in de facto MFN clauses (or assists buyers in enforcing the MFNs already in place), then customers may well wind up paying higher prices for electricity.  Indeed, in markets with some degree of competitive imperfection, public disclosure of prices, demand or cost has been shown to result in higher, not lower, wholesale power prices.</w:t>
      </w:r>
      <w:r>
        <w:rPr>
          <w:rStyle w:val="FootnoteCharacters"/>
          <w:rStyle w:val="FootnoteReference"/>
        </w:rPr>
        <w:footnoteReference w:id="14"/>
      </w:r>
    </w:p>
    <w:p>
      <w:pPr>
        <w:pStyle w:val="Heading2"/>
        <w:tabs>
          <w:tab w:val="left" w:pos="720" w:leader="none"/>
        </w:tabs>
        <w:rPr/>
      </w:pPr>
      <w:r>
        <w:rPr/>
        <w:t>Disclosure of Long-Term Contracts in Order to Protect Against Undue Price Discrimination Is Unnecessary and Likely to Produce Economic Inefficiencies</w:t>
      </w:r>
    </w:p>
    <w:p>
      <w:pPr>
        <w:pStyle w:val="BodyText"/>
        <w:rPr/>
      </w:pPr>
      <w:r>
        <w:rPr/>
        <w:tab/>
        <w:t>The wholesale electric market today is not highly concentrated, as evidenced by the Commission's success in promoting its market-based pricing program over the last decade.  In such circumstances, the market itself provides adequate protection against undue price discrimination.  Public information about spot prices and futures prices provide valuable information to customers of all sizes in evaluating proposed prices and terms and conditions in private long-term contracts.</w:t>
      </w:r>
    </w:p>
    <w:p>
      <w:pPr>
        <w:pStyle w:val="BodyText"/>
        <w:rPr>
          <w:b/>
        </w:rPr>
      </w:pPr>
      <w:r>
        <w:rPr/>
        <w:tab/>
        <w:t>Not only is contract disclosure currently not needed in order to protect against undue price discrimination, such a policy would risk the elimination of economic discrimination that promotes economic efficiency in the marketplace.</w:t>
      </w:r>
      <w:r>
        <w:rPr>
          <w:rStyle w:val="FootnoteCharacters"/>
          <w:rStyle w:val="FootnoteReference"/>
        </w:rPr>
        <w:footnoteReference w:id="15"/>
      </w:r>
      <w:r>
        <w:rPr/>
        <w:t xml:space="preserve">  That is, the risk profile of the supplier and its buyer may be such that a high price is warranted in some circumstances and a low price is warranted in others.  These party-specific risk considerations go beyond the prices discovered in the commodity and futures markets, and involve such matters as risk of default, willingness to be interrupted, reliability of supply, and willingness to accept financial risk.  An artificial requirement to disclose such terms and conditions effectively would eliminate the market's ability to address such legitimate differences in risks and contracting costs and would force uniformity where none should exist.</w:t>
      </w:r>
    </w:p>
    <w:p>
      <w:pPr>
        <w:pStyle w:val="BodyText"/>
        <w:rPr/>
      </w:pPr>
      <w:r>
        <w:rPr/>
        <w:tab/>
        <w:t>In effect, the most favorable terms and conditions offered to any buyer become the focal point for subsequent negotiations, backed possibly by the threat of suit if terms equivalent to the best terms offered any customer are not forthcoming.</w:t>
      </w:r>
      <w:r>
        <w:rPr>
          <w:rStyle w:val="FootnoteCharacters"/>
          <w:rStyle w:val="FootnoteReference"/>
        </w:rPr>
        <w:footnoteReference w:id="16"/>
      </w:r>
      <w:r>
        <w:rPr/>
        <w:t xml:space="preserve">  Similarly, suppliers may be willing to experiment with different contract terms on a limited basis.  They may be quite unwilling to do so if they fear that making the experimental terms known will prejudice commercial relationships with firms to whom the experimental terms have not been offered, or where other customers will demand that the experimental terms be extended to them on a permanent basis.</w:t>
      </w:r>
      <w:r>
        <w:rPr>
          <w:rStyle w:val="FootnoteCharacters"/>
          <w:rStyle w:val="FootnoteReference"/>
        </w:rPr>
        <w:footnoteReference w:id="17"/>
      </w:r>
      <w:r>
        <w:rPr/>
        <w:t xml:space="preserve">  Hence, contract terms remain relatively inflexible and otherwise dissimilar customers confront similar contract terms.</w:t>
      </w:r>
    </w:p>
    <w:p>
      <w:pPr>
        <w:pStyle w:val="BodyText"/>
        <w:rPr/>
      </w:pPr>
      <w:r>
        <w:rPr/>
        <w:tab/>
        <w:t>Overall, the public interest of preventing undue price discrimination is more likely to be served in an unconcentrated industry, such as wholesale power, by allowing long-term contracts to remain private.  The balance between due and undue price discrimination is difficult to gauge, of course.  However, competitive markets are better served by allowing appropriate and efficient economic discrimination reflecting real world differences in terms of risk, reliability, etc. to exist where it is needed than by an unneeded disclosure requirement intended to protect against undue discrimination in markets where such discrimination is unlikely to occur.</w:t>
      </w:r>
    </w:p>
    <w:p>
      <w:pPr>
        <w:pStyle w:val="Heading2"/>
        <w:tabs>
          <w:tab w:val="left" w:pos="720" w:leader="none"/>
        </w:tabs>
        <w:rPr/>
      </w:pPr>
      <w:r>
        <w:rPr/>
        <w:t>Disclosure of Long-Term Contracts Would Stifle Innovation in Contracting</w:t>
      </w:r>
    </w:p>
    <w:p>
      <w:pPr>
        <w:pStyle w:val="BodyText"/>
        <w:rPr/>
      </w:pPr>
      <w:r>
        <w:rPr/>
        <w:tab/>
        <w:t>The risks to efficient competition in wholesale power markets from compulsory disclosure of long-term wholesale power contracts are great.  Compulsory disclosure is likely to stifle innovation unnecessarily in risk-sharing arrangements in wholesale power markets.</w:t>
      </w:r>
    </w:p>
    <w:p>
      <w:pPr>
        <w:pStyle w:val="BodyText"/>
        <w:ind w:firstLine="720" w:end="0"/>
        <w:rPr/>
      </w:pPr>
      <w:r>
        <w:rPr/>
        <w:t>Current futures contracts extend out for 18-24 months.  Customers who want or need longer term supply assurance may find long-term contracting superior simply as a mechanism for providing pricing assurance.  The use by individuals of complex contracts providing for risk management options over periods longer than or different from those now traded on futures or other markets may also be a way to test the viability or usefulness of new financial or non-financial innovations.  Forced publication of the terms and conditions may well reduce the value of this experimental process to innovators by permitting others to have free access to this intellectual property.</w:t>
      </w:r>
    </w:p>
    <w:p>
      <w:pPr>
        <w:pStyle w:val="BodyText"/>
        <w:rPr/>
      </w:pPr>
      <w:r>
        <w:rPr/>
        <w:tab/>
        <w:t>The complex contracts buyers and sellers of wholesale power negotiate provide for a bundle of services, often tailored to the specific needs of the transacting parties.  That is, these contracts are far more than just plain vanilla electric power.  Non-standard contracting reflects a search by suppliers and customers for superior contracting forms designed to permit the contracting parties to more efficiently allocate or manage risks.</w:t>
      </w:r>
      <w:r>
        <w:rPr>
          <w:rStyle w:val="FootnoteCharacters"/>
          <w:rStyle w:val="FootnoteReference"/>
        </w:rPr>
        <w:footnoteReference w:id="18"/>
      </w:r>
      <w:r>
        <w:rPr/>
        <w:t xml:space="preserve">  In a real sense, these contracts and the innovations they include reflect an information gathering exercise quite like any other form of innovative activity.</w:t>
      </w:r>
      <w:r>
        <w:rPr>
          <w:rStyle w:val="FootnoteCharacters"/>
          <w:rStyle w:val="FootnoteReference"/>
        </w:rPr>
        <w:footnoteReference w:id="19"/>
      </w:r>
      <w:r>
        <w:rPr/>
        <w:t xml:space="preserve"> As markets around the world have shifted toward competition from centralized regulatory frameworks, the ability to manage risks of all types cannot be stressed enough.  As with other commodities, some of this risk management, particularly as regards market risk, will occur through complex market-based hedging strategies involving the use of complex securities, including long-term contracts.   For example, many power marketers use long-term contracts to manage the risks associated with the great day-to-day volatility in spot markets for wholesale power.  The search for improved, more efficient bilateral risk-sharing schemes would be impeded by a public disclosure requirement.  Indeed, the inability to manage short-term volatility through long-term contracts because of compulsory disclosure, may, in and of itself, result in even greater short-term and long-term volatility.  </w:t>
      </w:r>
    </w:p>
    <w:p>
      <w:pPr>
        <w:pStyle w:val="BodyText"/>
        <w:rPr>
          <w:b/>
        </w:rPr>
      </w:pPr>
      <w:r>
        <w:rPr/>
        <w:tab/>
        <w:t>The terms and conditions in long-term contracts may be, and often are, quite complex in order to address a wide variety of problems arising from counter-party risk issues relating to asset specificity, ex-post contracting transaction costs, and uncertainty.  Such contracting is often a more efficient alternative to ownership through vertical integration.  If the cost of “integration by contract” becomes more costly to use, then at some point firms may shift to other available, possibly less efficient, substitutes, including direct ownership.</w:t>
      </w:r>
    </w:p>
    <w:p>
      <w:pPr>
        <w:pStyle w:val="BodyText"/>
        <w:rPr/>
      </w:pPr>
      <w:r>
        <w:rPr/>
        <w:tab/>
        <w:t>Long-term contracting is one of a number of ways relations between buyers and sellers can be governed.  The focus for all of these instruments, whether vertical integration or long-term contracting, is how best to align incentives, control ex post negotiation bargaining, and resolve disputes.   When parties freely select one method for governing their ongoing relationship, the presumption ought to be that they have done so because it economizes on contracting, bargaining, and dispute-resolution costs.  Contracting contemplates that the relationship between the parties may end.  Different types of contracting also have different costs for adjusting the relationship to changed circumstances.  Long-term contracts differ from outright ownership because they are arguably easier to adjust—there may be commitment to the relationship but it may generally be less than the commitment obtained by outright ownership.  Long-term contracts, compared to ownership, may maintain more market discipline on both parties because each knows that it can be replaced when contract renewal occurs.</w:t>
      </w:r>
      <w:r>
        <w:rPr>
          <w:rStyle w:val="FootnoteCharacters"/>
          <w:rStyle w:val="FootnoteReference"/>
        </w:rPr>
        <w:footnoteReference w:id="20"/>
      </w:r>
      <w:r>
        <w:rPr/>
        <w:t xml:space="preserve">  The shift toward ownership also requires the firm to acquire expertise related to, and devote management time to, a non-core business unit.  The business-unit itself may also be at a less than optimal scale.  There are obviously limits to vertical integration.  However, when the benefit from long-term contracting declines, and long-term contracting is otherwise the most efficient way to govern transactions, then at least some transactions will shift to other, less efficient, arrangements.</w:t>
      </w:r>
    </w:p>
    <w:p>
      <w:pPr>
        <w:pStyle w:val="BodyText"/>
        <w:rPr/>
      </w:pPr>
      <w:r>
        <w:rPr/>
        <w:tab/>
        <w:t>An example of a problem arising in a long-term contracting context is how to ensure that a power supply is firm.  The traditional reliance on system power is not available to many new entrants, who must find creative solutions to supply the buyer's demand for backup power at a reasonable price.  Such matters involve tradeoffs between the ease of the seller's and buyer's ability to perform under adverse conditions and do not need to be revealed to the market.  A marketer that incorporates such assurances into a long-term contract may not want his approach to the firmness issue revealed to competitors, especially to incumbent utilities that may retain the advantage of being able to sell system power, that could use such information to competitively disadvantage the marketer.  The contract may address whether it is the buyer or the seller who is to be responsible for the backup power in case of a contingency, and additionally where the power would be purchased and at what price.</w:t>
      </w:r>
    </w:p>
    <w:p>
      <w:pPr>
        <w:pStyle w:val="BodyText"/>
        <w:rPr/>
      </w:pPr>
      <w:r>
        <w:rPr/>
        <w:tab/>
        <w:t>Similarly, long-term contracts for non-firm power may contain sensitive transaction-specific information not needed for the efficient operation of the market, but nonetheless highly prized by rivals of both the seller (utilities and marketers) and the buyer (entities competing in the same end-use product or service markets).  An on-going contract for non-firm power may include the buyer's reservation price above which the parties would agree not to transact.  Such information could reflect the buyer's alternatives, including self-supply for many large industrial customers.  The rivals in the buyer's own line of business would find such information quite useful, but as discussed below revealing it to the electricity market would serve no public interest purpose.</w:t>
      </w:r>
      <w:r>
        <w:rPr>
          <w:rStyle w:val="FootnoteCharacters"/>
          <w:rStyle w:val="FootnoteReference"/>
        </w:rPr>
        <w:footnoteReference w:id="21"/>
      </w:r>
    </w:p>
    <w:p>
      <w:pPr>
        <w:pStyle w:val="BodyText"/>
        <w:rPr/>
      </w:pPr>
      <w:r>
        <w:rPr/>
      </w:r>
    </w:p>
    <w:p>
      <w:pPr>
        <w:pStyle w:val="Heading2"/>
        <w:tabs>
          <w:tab w:val="left" w:pos="720" w:leader="none"/>
        </w:tabs>
        <w:rPr/>
      </w:pPr>
      <w:r>
        <w:rPr/>
        <w:t>The Risks of Compulsory Disclosure Far Outweigh the Benefits (If There Are Any)</w:t>
      </w:r>
    </w:p>
    <w:p>
      <w:pPr>
        <w:pStyle w:val="BodyText"/>
        <w:rPr>
          <w:b/>
        </w:rPr>
      </w:pPr>
      <w:r>
        <w:rPr/>
        <w:tab/>
        <w:t>It seems possible that FERC's support for mandatory disclosure of long-term contracts may derive from either a belief that the market(s) for electric power are insufficiently competitive to preclude systematic, anticompetitive price discrimination or an opinion that perfect competition requires perfect (and costless) information, so actions that increase transparency by making information available to all market participants must be desirable.  Given the relative ease of price discovery in wholesale power markets already, it is unclear that the wholesale power markets require greater transparency with respect to long-term risk-sharing arrangements.</w:t>
      </w:r>
    </w:p>
    <w:p>
      <w:pPr>
        <w:pStyle w:val="BodyText"/>
        <w:rPr/>
      </w:pPr>
      <w:r>
        <w:rPr/>
        <w:tab/>
        <w:t xml:space="preserve">Significant amounts of information about electricity prices already exists and is available to all market participants. The existence of futures markets and real-time (or same day) posted spot prices provide more than adequate price discovery.  Hence, it is far from clear that customers currently lack sufficient public information about standard electricity services to prevent efficient price discovery. </w:t>
      </w:r>
    </w:p>
    <w:p>
      <w:pPr>
        <w:pStyle w:val="BodyText"/>
        <w:rPr/>
      </w:pPr>
      <w:r>
        <w:rPr/>
        <w:tab/>
        <w:t>Power pools such as California, the New England Power Pool (NEPOOL), the New York Power Pool (NYPP), and the Pennsylvania-New Jersey-Maryland Interconnection, L.L.C. (PJM), where transmission and dispatch are handled by ISOs, frequently publish, in real time, hourly (or more frequent) spot prices available to all customers with pool access.  Second, NYMEX, for example, trades futures contracts for a growing list of power pools or power marketers.</w:t>
      </w:r>
      <w:r>
        <w:rPr>
          <w:rStyle w:val="FootnoteCharacters"/>
          <w:rStyle w:val="FootnoteReference"/>
        </w:rPr>
        <w:footnoteReference w:id="22"/>
      </w:r>
      <w:r>
        <w:rPr/>
        <w:t xml:space="preserve">  These include today the PJM,</w:t>
      </w:r>
      <w:r>
        <w:rPr>
          <w:rStyle w:val="FootnoteCharacters"/>
          <w:rStyle w:val="FootnoteReference"/>
        </w:rPr>
        <w:footnoteReference w:id="23"/>
      </w:r>
      <w:r>
        <w:rPr/>
        <w:t xml:space="preserve"> the California/Oregon border (COB) contracts,</w:t>
      </w:r>
      <w:r>
        <w:rPr>
          <w:rStyle w:val="FootnoteCharacters"/>
          <w:rStyle w:val="FootnoteReference"/>
        </w:rPr>
        <w:footnoteReference w:id="24"/>
      </w:r>
      <w:r>
        <w:rPr/>
        <w:t xml:space="preserve"> Palo Verde contracts,</w:t>
      </w:r>
      <w:r>
        <w:rPr>
          <w:rStyle w:val="FootnoteCharacters"/>
          <w:rStyle w:val="FootnoteReference"/>
        </w:rPr>
        <w:footnoteReference w:id="25"/>
      </w:r>
      <w:r>
        <w:rPr/>
        <w:t xml:space="preserve"> CINergy contracts,</w:t>
      </w:r>
      <w:r>
        <w:rPr>
          <w:rStyle w:val="FootnoteCharacters"/>
          <w:rStyle w:val="FootnoteReference"/>
        </w:rPr>
        <w:footnoteReference w:id="26"/>
      </w:r>
      <w:r>
        <w:rPr/>
        <w:t xml:space="preserve"> and Entergy contracts.</w:t>
      </w:r>
      <w:r>
        <w:rPr>
          <w:rStyle w:val="FootnoteCharacters"/>
          <w:rStyle w:val="FootnoteReference"/>
        </w:rPr>
        <w:footnoteReference w:id="27"/>
      </w:r>
      <w:r>
        <w:rPr/>
        <w:t xml:space="preserve">  The Chicago Board of Trade also offers electricity futures, including contracts for TVA, Commonwealth Edison and PJM electricity.</w:t>
      </w:r>
      <w:r>
        <w:rPr>
          <w:rStyle w:val="FootnoteCharacters"/>
          <w:rStyle w:val="FootnoteReference"/>
        </w:rPr>
        <w:footnoteReference w:id="28"/>
      </w:r>
      <w:r>
        <w:rPr/>
        <w:t xml:space="preserve">  While futures and options contracts, together with regularly reported spot prices made available through the ISO price-determination/bidding process, provide information, they do so in large part because the “prices” and “quantities” being reported are tied to homogeneous products of the underlying basic service.</w:t>
      </w:r>
      <w:r>
        <w:rPr>
          <w:rStyle w:val="FootnoteCharacters"/>
          <w:rStyle w:val="FootnoteReference"/>
        </w:rPr>
        <w:footnoteReference w:id="29"/>
      </w:r>
      <w:r>
        <w:rPr/>
        <w:t xml:space="preserve">  Futures trading has all the features of a highly visible, competitive, continuous open auction.  Hence, market participants have access to transparent price information relative to homogenous power products, and lack only access to innovative provisions of particular contracts that provide a means of handling unique and complex risks in wholesale power markets, the disclosure of which would be harmful in all of the ways described above.</w:t>
      </w:r>
    </w:p>
    <w:p>
      <w:pPr>
        <w:pStyle w:val="Heading1"/>
        <w:rPr/>
      </w:pPr>
      <w:r>
        <w:rPr/>
        <w:t>Electricity deregulation in other countries DOES NOT REQUIRE DISCLOSURE</w:t>
      </w:r>
    </w:p>
    <w:p>
      <w:pPr>
        <w:pStyle w:val="BodyText"/>
        <w:rPr/>
      </w:pPr>
      <w:r>
        <w:rPr/>
        <w:tab/>
        <w:t>To my knowledge, the principle competitive markets worldwide do not require wholesale suppliers and their customers to publish the competitively sensitive terms of their privately negotiated wholesale contracts.  Three examples, the United Kingdom, New Zealand and Australia illustrate the point.</w:t>
      </w:r>
    </w:p>
    <w:p>
      <w:pPr>
        <w:pStyle w:val="BodyText"/>
        <w:rPr/>
      </w:pPr>
      <w:r>
        <w:rPr/>
        <w:tab/>
        <w:t xml:space="preserve">In the United Kingdom, the Electricity Act (1989) currently governs the terms on which suppliers (for example, retailers) can offer to provide service to customers in England and Wales as well as Scotland.  There are in effect three classes of customers.  The first class includes customers with a maximum electricity demand exceeding 10 megawatts.  They, according to Section 6 of the 1989 Act, must be supplied by reference to the terms of a </w:t>
      </w:r>
      <w:r>
        <w:rPr>
          <w:i/>
        </w:rPr>
        <w:t>customer</w:t>
      </w:r>
      <w:r>
        <w:rPr/>
        <w:t xml:space="preserve"> </w:t>
      </w:r>
      <w:r>
        <w:rPr>
          <w:i/>
        </w:rPr>
        <w:t>specific</w:t>
      </w:r>
      <w:r>
        <w:rPr/>
        <w:t xml:space="preserve"> Special Agreement which is not required to be made public.  The second class includes customers with a maximum power demand in excess of 100 kilowatts who may also be supplied under the terms of a Special Agreement, where it is reasonable in all the circumstances to do so.  These Special Agreements are also not required to be made public.  The third group includes all remaining users, those with maximum demand below 100 kilowatts.  The Regional Electricity Supply Companies (“RECs”) provide service to this group pursuant to a published tariff.  Additionally, the 1998 Supply Licenses issued to suppliers distinguished between those authorized to supply Designated Customers, customers with demand less than 12,000 kilowatt hours per year, and suppliers with authority to supply customers outside this group.  A REC authorized to supply Designated Customers must do so on the basis of a published non-discriminatory tariff.  In summary, large and intermediate sized customers who negotiate Special Agreements obtain service under non-public contracts while smaller customers obtain service under published tariffs.</w:t>
      </w:r>
      <w:r>
        <w:rPr>
          <w:rStyle w:val="FootnoteCharacters"/>
          <w:rStyle w:val="FootnoteReference"/>
        </w:rPr>
        <w:footnoteReference w:id="30"/>
      </w:r>
      <w:r>
        <w:rPr/>
        <w:t xml:space="preserve">  As discussed below, spot market bids and offers to supply the UK Pool are also made public.  </w:t>
      </w:r>
    </w:p>
    <w:p>
      <w:pPr>
        <w:pStyle w:val="BodyText"/>
        <w:rPr/>
      </w:pPr>
      <w:r>
        <w:rPr/>
        <w:tab/>
        <w:t>New Zealand, much like the United Kingdom, has two markets, a spot market and a contract market.  The Electricity Market Company (“EMCO”) runs the main spot market, although it may be argued that Transpower, the ISO, also runs a spot market essentially congruent with the one run by EMCO.  EMCO publishes half-hourly spot prices at the North and South Island reference busbars on its website.  EMCO publishes the individual nodal prices only to its members, while Transpower publishes the individual nodal spot prices to those whom it dispatches.  Neither MCON or Transpower publish the half-hourly market quantities; each participant knows only its own quantity.</w:t>
      </w:r>
    </w:p>
    <w:p>
      <w:pPr>
        <w:pStyle w:val="BodyText"/>
        <w:rPr/>
      </w:pPr>
      <w:r>
        <w:rPr/>
        <w:tab/>
        <w:t>A number of entities operate contract markets with the shared characteristic that trades are essentially confidential between the trading parties.  For example, EMCO’s contract market does not make prices public.  Transpower dispatches power pursuant to bilaterally-negotiated contracts whose terms remain confidential to the parties.</w:t>
      </w:r>
      <w:r>
        <w:rPr>
          <w:rStyle w:val="FootnoteCharacters"/>
          <w:rStyle w:val="FootnoteReference"/>
        </w:rPr>
        <w:footnoteReference w:id="31"/>
      </w:r>
      <w:r>
        <w:rPr/>
        <w:t xml:space="preserve">  Other contracts between generators and retailers or directly supplied customers are also confidential between the parties, as are contracts between retailers and their large customers.  The only contract terms that are public, or “posted,” are for the supply of power to small customers, as in the UK.</w:t>
      </w:r>
    </w:p>
    <w:p>
      <w:pPr>
        <w:pStyle w:val="BodyText"/>
        <w:rPr/>
      </w:pPr>
      <w:r>
        <w:rPr/>
        <w:tab/>
        <w:t>Similarly, Australia also has both spot and contract markets for electricity.  The spot market is entirely public, with Regional Reference Prices published via teletext and the National Electricity Market Management Company’s (“NEMMCO’s”) website.  This web site provides data every five minutes on both price and quantity (unlike New Zealand) for dispatched power.  Moreover, every market participant can obtain all bids and offers from every other market participant for the preceding day (again, unlike New Zealand).   Bilaterally negotiated power cannot be dispatched by NEMMCO as the Australian National Electricity Market (“NEM”) is a compulsory pool.  However, parties do contract bilaterally outside the NEM while being dispatched on a spot basis.  These bilateral contracts remain confidential.  As in New Zealand and the UK, retail prices and conditions are publicly posted tariffs.</w:t>
      </w:r>
    </w:p>
    <w:p>
      <w:pPr>
        <w:pStyle w:val="BodyText"/>
        <w:rPr/>
      </w:pPr>
      <w:r>
        <w:rPr/>
        <w:tab/>
        <w:t xml:space="preserve">Closer to home is a more recent example from the Canadian Province of Ontario.  The Market Design Committee (“MDC”) in Ontario, Canada considered, but ultimately rejected any requirement that the </w:t>
      </w:r>
      <w:r>
        <w:rPr>
          <w:i/>
        </w:rPr>
        <w:t>price terms</w:t>
      </w:r>
      <w:r>
        <w:rPr/>
        <w:t xml:space="preserve"> of Ontario Hydro’s Genco “must-run” contracts with the Independent Market Organization (“IMO”)</w:t>
      </w:r>
      <w:r>
        <w:rPr>
          <w:rStyle w:val="FootnoteCharacters"/>
          <w:rStyle w:val="FootnoteReference"/>
        </w:rPr>
        <w:footnoteReference w:id="32"/>
      </w:r>
      <w:r>
        <w:rPr/>
        <w:t xml:space="preserve"> be automatically or regularly disclosed.  The Ontario arrangement is much newer than either of the markets in the United Kingdom or New Zealand.</w:t>
      </w:r>
    </w:p>
    <w:p>
      <w:pPr>
        <w:pStyle w:val="BodyText"/>
        <w:rPr/>
      </w:pPr>
      <w:r>
        <w:rPr/>
        <w:tab/>
        <w:t>In my opinion, the current U.S. market shares much with electricity markets around the world that have successfully deregulated.  Homogeneous spot and futures prices are public and aid in the price discovery process.  At the same time, as in many other markets, “custom-made” bilateral agreements remain confidential and this encourages suppliers and their customers to search for more efficient contracting arrangements to meet the demands of evolving competitive, deregulating markets.</w:t>
      </w:r>
    </w:p>
    <w:p>
      <w:pPr>
        <w:pStyle w:val="Heading1"/>
        <w:rPr/>
      </w:pPr>
      <w:r>
        <w:rPr/>
        <w:t>Market Participants in Other Deregulated Industries in the U.S. Have Not Been Required to Disclose Proprietary Contract Information</w:t>
      </w:r>
    </w:p>
    <w:p>
      <w:pPr>
        <w:pStyle w:val="BodyText"/>
        <w:rPr/>
      </w:pPr>
      <w:r>
        <w:rPr/>
        <w:tab/>
        <w:t>PHB Hagler Bailly has both provided advice to firms operating in a number of deregulating industries and has also been involved in deregulation of these formerly heavily regulated markets.  My review confirms my understanding that where market competition is the goal of deregulation, mandatory disclosure of long-term contracts is not required.  As discussed in more detail in Exhibit HWP-2, airlines, motor carriers, ocean shipping companies, and railroads are not required to disclose their contract terms.  Disclosure is also not required by gas or oil producers.  Indeed, the only exception to the general rule, telecommunications, actually proves the point.  The FCC has a statutory obligation to ensure that telecommunications rates are both economically discriminatory and, potentially, involve cross-subsidy.</w:t>
      </w:r>
      <w:r>
        <w:rPr>
          <w:rStyle w:val="FootnoteCharacters"/>
          <w:rStyle w:val="FootnoteReference"/>
        </w:rPr>
        <w:footnoteReference w:id="33"/>
      </w:r>
      <w:r>
        <w:rPr/>
        <w:t xml:space="preserve">  Section 254(g) of the Telecommunications Act (1996) requires even non-dominant interexchange carriers to charge customers in different states the same rates and to charge rural and urban customers the same rates, regardless of differences in the cost of service.  As noted in the Exhibit HWP-2, the FCC has acknowledged that this statutory requirement is inconsistent with competitive markets.</w:t>
      </w:r>
    </w:p>
    <w:p>
      <w:pPr>
        <w:pStyle w:val="BodyText"/>
        <w:rPr/>
      </w:pPr>
      <w:r>
        <w:rPr/>
        <w:tab/>
        <w:t>Additionally, the Census Bureau, based on requirements of Title 13 of the U.S. Code, has been sustained by the Courts in its efforts to prevent the publication of any information provided by private parties in a form that would allow identities or values for individual sources to be revealed.  Only data aggregated from at least several parties is published or otherwise made available.  While I understand that the requirements of the Bureau of the Census were established by statute, undoubtedly it reflects a congressional philosophy that confidential information provided by private parties to a government agency should be protected.</w:t>
      </w:r>
    </w:p>
    <w:p>
      <w:pPr>
        <w:pStyle w:val="Heading1"/>
        <w:rPr/>
      </w:pPr>
      <w:r>
        <w:rPr/>
        <w:t>CONCLUSION</w:t>
      </w:r>
    </w:p>
    <w:p>
      <w:pPr>
        <w:pStyle w:val="BodyText"/>
        <w:rPr/>
      </w:pPr>
      <w:r>
        <w:rPr/>
        <w:tab/>
        <w:t>In closing, I offer one comment after having participated in and observed the deregulation of formerly heavily regulated industries around the world.  FERC’s current proposal can provide cautious managers with focal points or targets or accepted norms that undermines risk-taking or innovation of the sort deregulating industries must embrace if they are to truly emulate competitive free markets quickly.  FERC’s actions will also tend to raise the price of electricity to consumers.</w:t>
      </w:r>
    </w:p>
    <w:p>
      <w:pPr>
        <w:pStyle w:val="Normal"/>
        <w:spacing w:before="0" w:after="24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440" w:top="1496"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56210" cy="241300"/>
              <wp:effectExtent l="0" t="0" r="0" b="0"/>
              <wp:wrapSquare wrapText="bothSides"/>
              <wp:docPr id="1" name="Frame1"/>
              <a:graphic xmlns:a="http://schemas.openxmlformats.org/drawingml/2006/main">
                <a:graphicData uri="http://schemas.microsoft.com/office/word/2010/wordprocessingShape">
                  <wps:wsp>
                    <wps:cNvSpPr txBox="1"/>
                    <wps:spPr>
                      <a:xfrm>
                        <a:off x="0" y="0"/>
                        <a:ext cx="156210" cy="241300"/>
                      </a:xfrm>
                      <a:prstGeom prst="rect"/>
                      <a:solidFill>
                        <a:srgbClr val="FFFFFF">
                          <a:alpha val="0"/>
                        </a:srgbClr>
                      </a:solidFill>
                    </wps:spPr>
                    <wps:txbx>
                      <w:txbxContent>
                        <w:p>
                          <w:pPr>
                            <w:pStyle w:val="Footer"/>
                            <w:spacing w:before="120" w:after="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25</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12.3pt;height:19pt;mso-wrap-distance-left:0pt;mso-wrap-distance-right:0pt;mso-wrap-distance-top:0pt;mso-wrap-distance-bottom:0pt;margin-top:0.05pt;mso-position-vertical-relative:text;margin-left:227.85pt;mso-position-horizontal:center;mso-position-horizontal-relative:margin">
              <v:fill opacity="0f"/>
              <v:textbox inset="0in,0in,0in,0in">
                <w:txbxContent>
                  <w:p>
                    <w:pPr>
                      <w:pStyle w:val="Footer"/>
                      <w:spacing w:before="120" w:after="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25</w:t>
                    </w:r>
                    <w:r>
                      <w:rPr>
                        <w:rStyle w:val="PageNumber"/>
                        <w:sz w:val="2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pacing w:before="0" w:after="120"/>
        <w:ind w:hanging="720" w:start="720" w:end="0"/>
        <w:rPr/>
      </w:pPr>
      <w:r>
        <w:rPr>
          <w:rStyle w:val="FootnoteCharacters"/>
        </w:rPr>
        <w:footnoteRef/>
      </w:r>
      <w:r>
        <w:rPr/>
        <w:tab/>
        <w:t>This is an example of the law of unintended consequences at work.</w:t>
      </w:r>
    </w:p>
  </w:footnote>
  <w:footnote w:id="3">
    <w:p>
      <w:pPr>
        <w:pStyle w:val="FootnoteText"/>
        <w:widowControl w:val="false"/>
        <w:spacing w:before="0" w:after="120"/>
        <w:ind w:hanging="720" w:start="720" w:end="0"/>
        <w:rPr/>
      </w:pPr>
      <w:r>
        <w:rPr>
          <w:rStyle w:val="FootnoteCharacters"/>
        </w:rPr>
        <w:footnoteRef/>
      </w:r>
      <w:r>
        <w:rPr/>
        <w:tab/>
        <w:t>However, during this same period, the wholesale buyer may be unwilling or unable to perform.  Indeed, I understand that some market participants had sales agreements with certain power marketers during the short periods of intense price volatility during the summer of 1998, that were on file with the Commission, and they were not free to cancel these agreements when these marketers were unable to provide adequate assurances that they could pay for power.</w:t>
      </w:r>
    </w:p>
  </w:footnote>
  <w:footnote w:id="4">
    <w:p>
      <w:pPr>
        <w:pStyle w:val="FootnoteText"/>
        <w:widowControl w:val="false"/>
        <w:spacing w:before="0" w:after="120"/>
        <w:ind w:hanging="720" w:start="720" w:end="0"/>
        <w:rPr/>
      </w:pPr>
      <w:r>
        <w:rPr>
          <w:rStyle w:val="FootnoteCharacters"/>
        </w:rPr>
        <w:footnoteRef/>
      </w:r>
      <w:r>
        <w:rPr/>
        <w:tab/>
        <w:t>Consistent with controlling Uniform Commercial Code requirements for commercial transactions.</w:t>
      </w:r>
    </w:p>
  </w:footnote>
  <w:footnote w:id="5">
    <w:p>
      <w:pPr>
        <w:pStyle w:val="FootnoteText"/>
        <w:widowControl w:val="false"/>
        <w:spacing w:before="0" w:after="120"/>
        <w:ind w:hanging="720" w:start="720" w:end="0"/>
        <w:rPr/>
      </w:pPr>
      <w:r>
        <w:rPr>
          <w:rStyle w:val="FootnoteCharacters"/>
        </w:rPr>
        <w:footnoteRef/>
      </w:r>
      <w:r>
        <w:rPr/>
        <w:tab/>
        <w:t>Again, this analysis does not assume that sellers cannot distinguish between buyers at all or that buyers cannot signal their type to some degree.  It does assume that neither seller ascertainment of risk class nor buyer signaling is perfect.  Hence, buyers with factually different ex ante probabilities of default are put into the same class or pool by sellers.</w:t>
      </w:r>
    </w:p>
  </w:footnote>
  <w:footnote w:id="6">
    <w:p>
      <w:pPr>
        <w:pStyle w:val="FootnoteText"/>
        <w:widowControl w:val="false"/>
        <w:spacing w:before="0" w:after="120"/>
        <w:ind w:hanging="720" w:start="720" w:end="0"/>
        <w:rPr/>
      </w:pPr>
      <w:r>
        <w:rPr>
          <w:rStyle w:val="FootnoteCharacters"/>
        </w:rPr>
        <w:footnoteRef/>
      </w:r>
      <w:r>
        <w:rPr/>
        <w:tab/>
        <w:t xml:space="preserve">This analysis draws on the well-known “lemons” or “adverse-selection” literature with seminal papers by Akerloff, “The market for lemons: Quality uncertainty and the market mechanism,” </w:t>
      </w:r>
      <w:r>
        <w:rPr>
          <w:i/>
        </w:rPr>
        <w:t>Quarterly J. of Economics</w:t>
      </w:r>
      <w:r>
        <w:rPr/>
        <w:t xml:space="preserve"> 84 (August 1970): 488-500, and Rothschild &amp; Stiglitz, “Equilibrium in competitive insurance markets: An essay on the economics of imperfect information,” </w:t>
      </w:r>
      <w:r>
        <w:rPr>
          <w:i/>
        </w:rPr>
        <w:t>Quarterly J. of Economics</w:t>
      </w:r>
      <w:r>
        <w:rPr/>
        <w:t xml:space="preserve"> 90 (November 1976): 629-649.  “Lemons” results leading to the disappearance of markets has been observed in carefully controlled laboratory experiments.  M. Lynch, R.M. Miller, C. R. Plott and R. Porter, “Product quality, consumer information and ‘lemons’ in experimental markets,” in Ippolito &amp; Scheffman, eds., </w:t>
      </w:r>
      <w:r>
        <w:rPr>
          <w:i/>
        </w:rPr>
        <w:t>Empirical approaches to consumer protection economics</w:t>
      </w:r>
      <w:r>
        <w:rPr/>
        <w:t xml:space="preserve">, Federal Trade Commission, Bureau of Economics, 1986: 251-306, and Charles Holt and Roger Sherman, “Advertising and product quality in posted-offer experiments,” 28 </w:t>
      </w:r>
      <w:r>
        <w:rPr>
          <w:i/>
        </w:rPr>
        <w:t>Economic Inquiry</w:t>
      </w:r>
      <w:r>
        <w:rPr/>
        <w:t>, 1990: 39-56.</w:t>
      </w:r>
    </w:p>
  </w:footnote>
  <w:footnote w:id="7">
    <w:p>
      <w:pPr>
        <w:pStyle w:val="FootnoteText"/>
        <w:widowControl w:val="false"/>
        <w:spacing w:before="0" w:after="120"/>
        <w:ind w:hanging="720" w:start="720" w:end="0"/>
        <w:rPr/>
      </w:pPr>
      <w:r>
        <w:rPr>
          <w:rStyle w:val="FootnoteCharacters"/>
        </w:rPr>
        <w:footnoteRef/>
      </w:r>
      <w:r>
        <w:rPr/>
        <w:tab/>
        <w:t>The buyer places a value to itself on the long-term contract without FERC disclosure requirements of V</w:t>
      </w:r>
      <w:r>
        <w:rPr>
          <w:vertAlign w:val="subscript"/>
        </w:rPr>
        <w:t>B</w:t>
      </w:r>
      <w:r>
        <w:rPr>
          <w:vertAlign w:val="superscript"/>
        </w:rPr>
        <w:t>T</w:t>
      </w:r>
      <w:r>
        <w:rPr/>
        <w:t>, where T represents the contract’s length in months or years.  As an alternative, the buyer could enter into a series of one-period (month or year) spot contracts.  A spot contract, to be entered t period ahead, has an expected value today of v</w:t>
      </w:r>
      <w:r>
        <w:rPr>
          <w:vertAlign w:val="subscript"/>
        </w:rPr>
        <w:t>B</w:t>
      </w:r>
      <w:r>
        <w:rPr/>
        <w:t>(t).  Whenever the buyer picks the long-term contract over the series of spot contract, the buyer reveals that the value of the long-term contract exceeds the expected value of the series of spot contracts.  Mathematically, V</w:t>
      </w:r>
      <w:r>
        <w:rPr>
          <w:vertAlign w:val="subscript"/>
        </w:rPr>
        <w:t>B</w:t>
      </w:r>
      <w:r>
        <w:rPr>
          <w:vertAlign w:val="superscript"/>
        </w:rPr>
        <w:t>T</w:t>
      </w:r>
      <w:r>
        <w:rPr/>
        <w:t>&gt;</w:t>
      </w:r>
      <w:r>
        <w:rPr>
          <w:rFonts w:eastAsia="Symbol" w:cs="Symbol" w:ascii="Symbol" w:hAnsi="Symbol"/>
        </w:rPr>
        <w:sym w:font="Symbol" w:char="f053"/>
      </w:r>
      <w:r>
        <w:rPr>
          <w:vertAlign w:val="subscript"/>
        </w:rPr>
        <w:t>0</w:t>
      </w:r>
      <w:r>
        <w:rPr>
          <w:vertAlign w:val="superscript"/>
        </w:rPr>
        <w:t>T</w:t>
      </w:r>
      <w:r>
        <w:rPr/>
        <w:t xml:space="preserve"> v</w:t>
      </w:r>
      <w:r>
        <w:rPr>
          <w:vertAlign w:val="subscript"/>
        </w:rPr>
        <w:t>B</w:t>
      </w:r>
      <w:r>
        <w:rPr/>
        <w:t>(t).  To be complete, the series of spot contracts could be supplemented with a “contract for differences” to provide for risk-mitigation unrelated to default.  To keep matters as simple as possible I have subsumed the CDF, or other equivalent hedging instrument, within the spot contracts.</w:t>
      </w:r>
    </w:p>
  </w:footnote>
  <w:footnote w:id="8">
    <w:p>
      <w:pPr>
        <w:pStyle w:val="FootnoteText"/>
        <w:widowControl w:val="false"/>
        <w:spacing w:before="0" w:after="120"/>
        <w:ind w:hanging="720" w:start="720" w:end="0"/>
        <w:rPr/>
      </w:pPr>
      <w:r>
        <w:rPr>
          <w:rStyle w:val="FootnoteCharacters"/>
        </w:rPr>
        <w:footnoteRef/>
      </w:r>
      <w:r>
        <w:rPr/>
        <w:tab/>
        <w:t>Consistent with any Uniform Commercial Code requirements.</w:t>
      </w:r>
    </w:p>
  </w:footnote>
  <w:footnote w:id="9">
    <w:p>
      <w:pPr>
        <w:pStyle w:val="FootnoteText"/>
        <w:widowControl w:val="false"/>
        <w:spacing w:before="0" w:after="120"/>
        <w:ind w:hanging="720" w:start="720" w:end="0"/>
        <w:rPr/>
      </w:pPr>
      <w:r>
        <w:rPr>
          <w:rStyle w:val="FootnoteCharacters"/>
        </w:rPr>
        <w:footnoteRef/>
      </w:r>
      <w:r>
        <w:rPr/>
        <w:tab/>
        <w:t>Under the FERC proposal, the value of the long-term contract because of the consequences of disclosure declines to W</w:t>
      </w:r>
      <w:r>
        <w:rPr>
          <w:vertAlign w:val="subscript"/>
        </w:rPr>
        <w:t>B</w:t>
      </w:r>
      <w:r>
        <w:rPr>
          <w:vertAlign w:val="superscript"/>
        </w:rPr>
        <w:t>T</w:t>
      </w:r>
      <w:r>
        <w:rPr/>
        <w:t xml:space="preserve"> which is less than V</w:t>
      </w:r>
      <w:r>
        <w:rPr>
          <w:vertAlign w:val="subscript"/>
        </w:rPr>
        <w:t>B</w:t>
      </w:r>
      <w:r>
        <w:rPr>
          <w:vertAlign w:val="superscript"/>
        </w:rPr>
        <w:t>T</w:t>
      </w:r>
      <w:r>
        <w:rPr/>
        <w:t>.  When this occurs for low risk buyers, they have the alternative option of simply entering into a series of short-term agreements.  When the value of the series of short-term contracts exceeds the value of the long-term contract-cum-FERC disclosure costs, or W</w:t>
      </w:r>
      <w:r>
        <w:rPr>
          <w:vertAlign w:val="subscript"/>
        </w:rPr>
        <w:t>B</w:t>
      </w:r>
      <w:r>
        <w:rPr>
          <w:vertAlign w:val="superscript"/>
        </w:rPr>
        <w:t>T</w:t>
      </w:r>
      <w:r>
        <w:rPr/>
        <w:t xml:space="preserve"> &lt; </w:t>
      </w:r>
      <w:r>
        <w:rPr>
          <w:rFonts w:eastAsia="Symbol" w:cs="Symbol" w:ascii="Symbol" w:hAnsi="Symbol"/>
        </w:rPr>
        <w:sym w:font="Symbol" w:char="f053"/>
      </w:r>
      <w:r>
        <w:rPr/>
        <w:t xml:space="preserve"> v(t) &lt; V</w:t>
      </w:r>
      <w:r>
        <w:rPr>
          <w:vertAlign w:val="subscript"/>
        </w:rPr>
        <w:t>B</w:t>
      </w:r>
      <w:r>
        <w:rPr>
          <w:vertAlign w:val="superscript"/>
        </w:rPr>
        <w:t>T</w:t>
      </w:r>
      <w:r>
        <w:rPr/>
        <w:t xml:space="preserve">, then the low-risk buyer(s) drop out of the long-term contract pool.  Their dropping out, much like low-risk drivers dropping out of the market for third-party insurance, raises the average risk of the pool to whom the seller is marketing.  </w:t>
      </w:r>
    </w:p>
  </w:footnote>
  <w:footnote w:id="10">
    <w:p>
      <w:pPr>
        <w:pStyle w:val="FootnoteText"/>
        <w:widowControl w:val="false"/>
        <w:spacing w:before="0" w:after="120"/>
        <w:ind w:hanging="720" w:start="720" w:end="0"/>
        <w:rPr/>
      </w:pPr>
      <w:r>
        <w:rPr>
          <w:rStyle w:val="FootnoteCharacters"/>
        </w:rPr>
        <w:footnoteRef/>
      </w:r>
      <w:r>
        <w:rPr/>
        <w:t xml:space="preserve"> </w:t>
      </w:r>
      <w:r>
        <w:rPr/>
        <w:tab/>
        <w:t>We are working on providing cites from the economic literature.</w:t>
      </w:r>
    </w:p>
  </w:footnote>
  <w:footnote w:id="11">
    <w:p>
      <w:pPr>
        <w:pStyle w:val="FootnoteText"/>
        <w:widowControl w:val="false"/>
        <w:spacing w:before="0" w:after="120"/>
        <w:ind w:hanging="720" w:start="720" w:end="0"/>
        <w:rPr/>
      </w:pPr>
      <w:r>
        <w:rPr>
          <w:rStyle w:val="FootnoteCharacters"/>
        </w:rPr>
        <w:footnoteRef/>
      </w:r>
      <w:r>
        <w:rPr/>
        <w:tab/>
        <w:t xml:space="preserve">For example, public disclosure of bid terms in public procurements has been criticized as helping to facilitate overt or tacit seller (buyer) collusion through the use of sealed-bidding coupled with public revelation of the winning (and possibly other) bids.  See Paul W. Cook, Jr., “Fact and Fancy on Identical Bids,” </w:t>
      </w:r>
      <w:r>
        <w:rPr>
          <w:i/>
        </w:rPr>
        <w:t>Harvard Business Review</w:t>
      </w:r>
      <w:r>
        <w:rPr/>
        <w:t xml:space="preserve">, January-February 1963: 67-72: “It would…be hard to find a device less calculated to foster open and aggressive competition among [oligopolistic] sellers” than the public revelation of bids.  See also, Vernon Mund, “Identical Bid Prices,” </w:t>
      </w:r>
      <w:r>
        <w:rPr>
          <w:i/>
        </w:rPr>
        <w:t>J. of Political Economy</w:t>
      </w:r>
      <w:r>
        <w:rPr/>
        <w:t>, April 1960: 150-169.</w:t>
      </w:r>
    </w:p>
  </w:footnote>
  <w:footnote w:id="12">
    <w:p>
      <w:pPr>
        <w:pStyle w:val="FootnoteText"/>
        <w:widowControl w:val="false"/>
        <w:spacing w:before="0" w:after="120"/>
        <w:ind w:hanging="720" w:start="720" w:end="0"/>
        <w:rPr/>
      </w:pPr>
      <w:r>
        <w:rPr>
          <w:rStyle w:val="FootnoteCharacters"/>
        </w:rPr>
        <w:footnoteRef/>
      </w:r>
      <w:r>
        <w:rPr/>
        <w:tab/>
        <w:t>See, e.g., "Vertical Restraints With Horizontal Consequences: Competitive Effects of "Most-Favored-Customer" Clauses," Remarks of Jonathan B. Baker, Director, Bureau of Economics, Federal Trade Commission (September 28, 1995) (noting that such clauses can facilitate anticompetitive coordination among competitors, raise rivals' costs and dampen competition).</w:t>
      </w:r>
    </w:p>
  </w:footnote>
  <w:footnote w:id="13">
    <w:p>
      <w:pPr>
        <w:pStyle w:val="FootnoteText"/>
        <w:widowControl w:val="false"/>
        <w:spacing w:before="0" w:after="120"/>
        <w:ind w:hanging="720" w:start="720" w:end="0"/>
        <w:rPr/>
      </w:pPr>
      <w:r>
        <w:rPr>
          <w:rStyle w:val="FootnoteCharacters"/>
        </w:rPr>
        <w:footnoteRef/>
      </w:r>
      <w:r>
        <w:rPr/>
        <w:tab/>
        <w:t xml:space="preserve">F.M. Scherer, </w:t>
      </w:r>
      <w:r>
        <w:rPr>
          <w:i/>
        </w:rPr>
        <w:t>Industrial Market Structure and Economic Performance,</w:t>
      </w:r>
      <w:r>
        <w:rPr/>
        <w:t xml:space="preserve"> (Rand McNally, 1970): 210.  Scherer cites Almarin Phillips, </w:t>
      </w:r>
      <w:r>
        <w:rPr>
          <w:i/>
        </w:rPr>
        <w:t>Market Structure, Organization and Performance,</w:t>
      </w:r>
      <w:r>
        <w:rPr/>
        <w:t xml:space="preserve"> (Harvard University Press, 1962), chapter 2 for the seminal treatment of the latter proposition.  See also, </w:t>
      </w:r>
      <w:r>
        <w:rPr>
          <w:i/>
        </w:rPr>
        <w:t xml:space="preserve">U.S. v. Eli Lilly &amp; Co., et al., </w:t>
      </w:r>
      <w:r>
        <w:rPr/>
        <w:t>CCH 1959 Trade Cases, Para. 69,536.  A more recent study of MFN clauses in Medicare/Medicaid pharmaceutical contracts found that these clauses deterred price-cutting, resulting in higher prices to some non-Medicaid consumers.  Fiona Scott Morton, “The Strategic Response by Pharmaceutical Firms to the Medicaid Most-Favored-Customer Rules,” Stanford Graduate School of Business Working Paper 1390, June 1996.</w:t>
      </w:r>
    </w:p>
  </w:footnote>
  <w:footnote w:id="14">
    <w:p>
      <w:pPr>
        <w:pStyle w:val="FootnoteText"/>
        <w:rPr/>
      </w:pPr>
      <w:r>
        <w:rPr>
          <w:rStyle w:val="FootnoteCharacters"/>
        </w:rPr>
        <w:footnoteRef/>
      </w:r>
      <w:r>
        <w:rPr/>
        <w:tab/>
        <w:t xml:space="preserve">Experimental research on the amount for information each trader needs in order for markets to behave competitively does invariably not support the notion that “more is better.”  Indeed, in some double-auction experiments, “more is worse.”  Generically, the experimental double-auction format results in convergence to the competitive outcome.  This result is robust across variations in the supply-demand format, very harsh restrictions on the number of sellers, </w:t>
      </w:r>
      <w:r>
        <w:rPr>
          <w:i/>
        </w:rPr>
        <w:t>and to conditions regulating the information available to each market participant</w:t>
      </w:r>
      <w:r>
        <w:rPr/>
        <w:t xml:space="preserve">.  Indeed, as Davis and Holt, </w:t>
      </w:r>
      <w:r>
        <w:rPr>
          <w:i/>
        </w:rPr>
        <w:t>Experimental Economics</w:t>
      </w:r>
      <w:r>
        <w:rPr/>
        <w:t xml:space="preserve"> (Princeton, 1993), pp. 167-168, have noted (emphasis in original):</w:t>
      </w:r>
    </w:p>
    <w:p>
      <w:pPr>
        <w:pStyle w:val="FootnoteText"/>
        <w:ind w:hanging="0" w:start="1440" w:end="720"/>
        <w:rPr/>
      </w:pPr>
      <w:r>
        <w:rPr/>
        <w:t>[C]</w:t>
      </w:r>
      <w:r>
        <w:rPr>
          <w:i/>
        </w:rPr>
        <w:t>omplete information regarding supply and demand arrays is not only unnecessary, but it may impede the convergence process.</w:t>
      </w:r>
      <w:r>
        <w:rPr/>
        <w:t xml:space="preserve">  The very fact that markets generate competitive predictions when participants are provided only with private information about costs or values (and public information about prices) challenges standard assumptions about conditions necessary for convergence.  Furthermore, limited available evidence suggests that the addition of complete information may retard rather than facilitate convergence.</w:t>
      </w:r>
    </w:p>
    <w:p>
      <w:pPr>
        <w:pStyle w:val="FootnoteText"/>
        <w:widowControl w:val="false"/>
        <w:spacing w:before="0" w:after="120"/>
        <w:ind w:hanging="720" w:start="720" w:end="0"/>
        <w:rPr/>
      </w:pPr>
      <w:r>
        <w:rPr/>
        <w:tab/>
        <w:t>As Davis and Holt</w:t>
      </w:r>
      <w:r>
        <w:rPr>
          <w:b/>
        </w:rPr>
        <w:t xml:space="preserve"> </w:t>
      </w:r>
      <w:r>
        <w:rPr/>
        <w:t xml:space="preserve">observe, public information about early contract terms tends to influence the terms arrived at in subsequent auctions resulting in price inertia. Mandatory disclosure, by effectively providing market participants with information about the costs or values of other transacting pairs may, even in the highly competitive double-auction framework that may correctly reflect many electricity markets, result in an outcome less efficient than one where this information remains private.  </w:t>
      </w:r>
    </w:p>
  </w:footnote>
  <w:footnote w:id="15">
    <w:p>
      <w:pPr>
        <w:pStyle w:val="FootnoteText"/>
        <w:widowControl w:val="false"/>
        <w:spacing w:before="0" w:after="120"/>
        <w:ind w:hanging="720" w:start="720" w:end="0"/>
        <w:rPr/>
      </w:pPr>
      <w:r>
        <w:rPr>
          <w:rStyle w:val="FootnoteCharacters"/>
        </w:rPr>
        <w:footnoteRef/>
      </w:r>
      <w:r>
        <w:rPr/>
        <w:tab/>
        <w:t xml:space="preserve">It is well-recognized that market power, unilateral in the case of a dominant firm or shared in the case of a tight oligopoly, is a prerequisite for systematic price discrimination in a world of otherwise complete information.  Varian, “Price Discrimination,” in Schmalensee &amp; Willig, eds, </w:t>
      </w:r>
      <w:r>
        <w:rPr>
          <w:i/>
        </w:rPr>
        <w:t>The Handbook of Industrial Organization</w:t>
      </w:r>
      <w:r>
        <w:rPr/>
        <w:t xml:space="preserve">, Vol. 1 (North Holland, 1987), Chapter 10, p. 599 (“Three conditions are necessary in order for price discrimination to be a viable solution to a firm’s pricing problem.  First, the firm must have some market power.  Second, the firm must have the ability to sort customers.  And third, the firm must be able to prevent resale.”)   As discussed below, if market power already exists—suppliers face appreciably downward-sloped demand curves for the products or services they provide—mandatory revelation of all competitively relevant terms and conditions may make collusive behavior more likely.  If markets are competitive enough to preclude appreciable market power, they are also very likely to be sufficiently competitive to preclude systematic, anticompetitive (or “undue”) price discrimination as well.  Collusion aside, it is also well-known that price discrimination by a firm which has, and expects to maintain, market power may or may not be welfare improving.  That is, society may be better off, and customers as a class may be better off, when discrimination is permitted than when it is banned.  </w:t>
      </w:r>
    </w:p>
  </w:footnote>
  <w:footnote w:id="16">
    <w:p>
      <w:pPr>
        <w:pStyle w:val="FootnoteText"/>
        <w:widowControl w:val="false"/>
        <w:spacing w:before="0" w:after="120"/>
        <w:ind w:hanging="720" w:start="720" w:end="0"/>
        <w:rPr/>
      </w:pPr>
      <w:r>
        <w:rPr>
          <w:rStyle w:val="FootnoteCharacters"/>
        </w:rPr>
        <w:footnoteRef/>
      </w:r>
      <w:r>
        <w:rPr/>
        <w:tab/>
        <w:t>In 1936 Congress changed the burden of proof under Section 2 of the Clayton Act (Robinson-Patman Amendments).  The burden was shifted from the buyer to the seller on a key point.  The seller now had to prove that 100% of any price difference between ostensibly similarly (though not identically) situated customers could be justified, and had been justified, based upon cost differences.  As a result, over the following twenty-five years, the government won more than 90% of the (small number of) contested Robinson-Patman cases it brought.  The remainder settled.  In markets where fixed and sunk costs are important and where customers demand elasticities differ, free entry and competition may result in a price structure with properties similar to Ramsey pricing.   Profits earned by the marginal entrant are zero and price-cost margins differ to insure coverage of overhead costs at the smallest sacrifice in consumers’ surplus.   Disclosure may encourage firms paying relatively more, even when the service actually being provided differs, to demand better terms.</w:t>
      </w:r>
    </w:p>
  </w:footnote>
  <w:footnote w:id="17">
    <w:p>
      <w:pPr>
        <w:pStyle w:val="FootnoteText"/>
        <w:widowControl w:val="false"/>
        <w:spacing w:before="0" w:after="120"/>
        <w:ind w:hanging="720" w:start="720" w:end="0"/>
        <w:rPr/>
      </w:pPr>
      <w:r>
        <w:rPr>
          <w:rStyle w:val="FootnoteCharacters"/>
        </w:rPr>
        <w:footnoteRef/>
      </w:r>
      <w:r>
        <w:rPr/>
        <w:tab/>
        <w:t>Even if the seller can and does resist, the exercise is not costless as it will invariably entail management’s time, at a high level, to deflect requests and explain the firm’s commercial policy in detail in order to preserve customer goodwill.</w:t>
      </w:r>
    </w:p>
  </w:footnote>
  <w:footnote w:id="18">
    <w:p>
      <w:pPr>
        <w:pStyle w:val="FootnoteText"/>
        <w:rPr/>
      </w:pPr>
      <w:r>
        <w:rPr>
          <w:rStyle w:val="FootnoteCharacters"/>
        </w:rPr>
        <w:footnoteRef/>
      </w:r>
      <w:r>
        <w:rPr/>
        <w:tab/>
        <w:t xml:space="preserve">The term “non-standard contracting” has been popularized by Oliver Williamson, </w:t>
      </w:r>
      <w:r>
        <w:rPr>
          <w:i/>
        </w:rPr>
        <w:t>The Economic Institutions of Capitalism</w:t>
      </w:r>
      <w:r>
        <w:rPr/>
        <w:t xml:space="preserve">, (Free Press, 1985) and </w:t>
      </w:r>
      <w:r>
        <w:rPr>
          <w:i/>
        </w:rPr>
        <w:t>Markets and Hierarchies: Analysis and Antitrust Implications</w:t>
      </w:r>
      <w:r>
        <w:rPr/>
        <w:t xml:space="preserve"> (Free Press, 1975) and in numerous articles.  Williamson distinguishes “standard” autonomous spot-market contracting on the one hand from the very complex bilateral agreements that govern a wide range of relationships between parties on the other.  As Williamson has noted, historically economists and lawyers have approached nonstandard contracting inhospitably largely because they have not understood why it could be important as a way of addressing, avoiding or overcoming what would otherwise be market imperfections. Imperfections most obviously arise when the options available before and after a bargain are struck differ for the two contracting parties and, moreover, the relative costs for each party from terminating the relationship once it has commenced also differ.  A classic example arises when a potential electric generation plant owner negotiates with a potential coal mine operator.  Prior to either building the generator or opening the mine, each has a wide array of alternative uses for their capital.  However, once the mine has been opened and the generator built, each side has committed to expenditures that are difficult or impossible to recover if the relationship ends.  Because each party risks having the ex ante return needed to justify going forward expropriated by the other party, simple spot market contracting breaks down.  It is replaced, as Williamson noted, by a form of “non-standard” contract, either vertical integration, when that is the least costly way to handle the asset specificity-cum-opportunism problem, or by a well-crafted long-term contract designed to limit the scope for subsequent (re)negotiation.  </w:t>
      </w:r>
    </w:p>
    <w:p>
      <w:pPr>
        <w:pStyle w:val="FootnoteText"/>
        <w:spacing w:before="0" w:after="120"/>
        <w:rPr>
          <w:b/>
        </w:rPr>
      </w:pPr>
      <w:r>
        <w:rPr>
          <w:b/>
        </w:rPr>
      </w:r>
    </w:p>
  </w:footnote>
  <w:footnote w:id="19">
    <w:p>
      <w:pPr>
        <w:pStyle w:val="FootnoteText"/>
        <w:rPr/>
      </w:pPr>
      <w:r>
        <w:rPr>
          <w:rStyle w:val="FootnoteCharacters"/>
        </w:rPr>
        <w:footnoteRef/>
      </w:r>
      <w:r>
        <w:rPr/>
        <w:tab/>
        <w:t xml:space="preserve">Franklin Allen &amp; Douglas Gale, </w:t>
      </w:r>
      <w:r>
        <w:rPr>
          <w:i/>
        </w:rPr>
        <w:t>Financial Innovation and Risk Sharing</w:t>
      </w:r>
      <w:r>
        <w:rPr/>
        <w:t xml:space="preserve"> (MIT, 1995), p. 45, drew the analogy this way:</w:t>
      </w:r>
    </w:p>
    <w:p>
      <w:pPr>
        <w:pStyle w:val="FootnoteText"/>
        <w:ind w:hanging="1440" w:start="1440" w:end="720"/>
        <w:rPr/>
      </w:pPr>
      <w:r>
        <w:rPr/>
        <w:tab/>
        <w:t>Many of the issues that arise in the study of innovation in industry, problems of imitation, intellectual property rights, asymmetric information and so forth have their counterparts in the context of financial innovation.</w:t>
      </w:r>
    </w:p>
    <w:p>
      <w:pPr>
        <w:pStyle w:val="FootnoteText"/>
        <w:widowControl w:val="false"/>
        <w:spacing w:before="0" w:after="120"/>
        <w:ind w:hanging="720" w:start="720" w:end="0"/>
        <w:rPr/>
      </w:pPr>
      <w:r>
        <w:rPr/>
        <w:tab/>
        <w:t>Drawing the parallel out further, a 19</w:t>
      </w:r>
      <w:r>
        <w:rPr>
          <w:vertAlign w:val="superscript"/>
        </w:rPr>
        <w:t>th</w:t>
      </w:r>
      <w:r>
        <w:rPr/>
        <w:t xml:space="preserve"> century robber baron once remarked: “Man is never happier that when in hot pursuit of a dollar with good prospects for overtaking same.”  Dynamic markets are always in the process of </w:t>
      </w:r>
      <w:r>
        <w:rPr>
          <w:i/>
        </w:rPr>
        <w:t>becoming</w:t>
      </w:r>
      <w:r>
        <w:rPr/>
        <w:t xml:space="preserve"> competitive.  Buyers and sellers have the chance, by being creative, to obtain a valuable advantage on their less adroit rivals—one motive to search for better ways to govern transactions but only when imitation is costly or delayed.</w:t>
      </w:r>
    </w:p>
  </w:footnote>
  <w:footnote w:id="20">
    <w:p>
      <w:pPr>
        <w:pStyle w:val="FootnoteText"/>
        <w:widowControl w:val="false"/>
        <w:spacing w:before="0" w:after="120"/>
        <w:ind w:hanging="720" w:start="720" w:end="0"/>
        <w:rPr/>
      </w:pPr>
      <w:r>
        <w:rPr>
          <w:rStyle w:val="FootnoteCharacters"/>
        </w:rPr>
        <w:footnoteRef/>
      </w:r>
      <w:r>
        <w:rPr/>
        <w:t xml:space="preserve"> </w:t>
      </w:r>
      <w:r>
        <w:rPr/>
        <w:t>As an observation, IBM and AT&amp;T both once made substantial numbers of semiconductors and integrated circuits, primarily for their own use.  However, both firms evidently learned that merchant chip producers, such as Intel, supplied products at a lower cost and, also, incorporated technical advances more rapidly.  This may help explain why IBM selected to use a commercial Intel-designed microprocessor in its original PC rather than use a proprietary design.</w:t>
      </w:r>
    </w:p>
  </w:footnote>
  <w:footnote w:id="21">
    <w:p>
      <w:pPr>
        <w:pStyle w:val="BodyText"/>
        <w:spacing w:lineRule="auto" w:line="240" w:before="0" w:after="240"/>
        <w:ind w:hanging="720" w:start="720" w:end="0"/>
        <w:rPr/>
      </w:pPr>
      <w:r>
        <w:rPr>
          <w:rStyle w:val="FootnoteCharacters"/>
        </w:rPr>
        <w:footnoteRef/>
      </w:r>
      <w:r>
        <w:rPr/>
        <w:t xml:space="preserve"> </w:t>
      </w:r>
      <w:r>
        <w:rPr/>
        <w:tab/>
      </w:r>
      <w:r>
        <w:rPr>
          <w:sz w:val="20"/>
        </w:rPr>
        <w:t>Compulsory disclosure of long term contracts may cause competitive harm to those consumers that rely upon power as a major input to products and services that they sell in competitive markets.  For example, large electricity end-users for whom electricity represents a large percentage of their final product costs, such as aluminum or chemicals producers, have a legitimate reason not to disclose an important determinant of their forward costs or, in the case of contracts with both maximum and minimum allowable, their capacity to expand. Such information could undermine their competitive position relative to international rivals or competitors, who buy their power from other non-jurisdictional entities, such as BPA.</w:t>
      </w:r>
    </w:p>
  </w:footnote>
  <w:footnote w:id="22">
    <w:p>
      <w:pPr>
        <w:pStyle w:val="FootnoteText"/>
        <w:widowControl w:val="false"/>
        <w:spacing w:before="0" w:after="120"/>
        <w:ind w:hanging="720" w:start="720" w:end="0"/>
        <w:rPr/>
      </w:pPr>
      <w:r>
        <w:rPr>
          <w:rStyle w:val="FootnoteCharacters"/>
        </w:rPr>
        <w:footnoteRef/>
      </w:r>
      <w:r>
        <w:rPr/>
        <w:tab/>
        <w:t xml:space="preserve">Electricity and natural gas are two formerly regulated services or products for which futures markets exist.  This differentiates them, in some ways, from other formerly regulated or deregulating services such as surface transportation or telecommunications for which no futures or options markets exist.  </w:t>
      </w:r>
    </w:p>
  </w:footnote>
  <w:footnote w:id="23">
    <w:p>
      <w:pPr>
        <w:pStyle w:val="FootnoteText"/>
        <w:spacing w:before="0" w:after="120"/>
        <w:jc w:val="start"/>
        <w:rPr/>
      </w:pPr>
      <w:r>
        <w:rPr>
          <w:rStyle w:val="FootnoteCharacters"/>
        </w:rPr>
        <w:footnoteRef/>
      </w:r>
      <w:r>
        <w:rPr/>
        <w:tab/>
        <w:t xml:space="preserve">Trading began for futures contracts on March 19, 1999.  NYMEX, “Exchange Pleased with Estimated First Day PJM Futures Volume,” http://www.marketcenter.com/press/index.cgi?release=2184&amp; exchange =nymex  </w:t>
      </w:r>
    </w:p>
  </w:footnote>
  <w:footnote w:id="24">
    <w:p>
      <w:pPr>
        <w:pStyle w:val="FootnoteText"/>
        <w:widowControl w:val="false"/>
        <w:spacing w:before="0" w:after="120"/>
        <w:ind w:hanging="720" w:start="720" w:end="0"/>
        <w:rPr/>
      </w:pPr>
      <w:r>
        <w:rPr>
          <w:rStyle w:val="FootnoteCharacters"/>
        </w:rPr>
        <w:footnoteRef/>
      </w:r>
      <w:r>
        <w:rPr/>
        <w:tab/>
        <w:t>First day trading began March 29, 1996.</w:t>
      </w:r>
    </w:p>
  </w:footnote>
  <w:footnote w:id="25">
    <w:p>
      <w:pPr>
        <w:pStyle w:val="FootnoteText"/>
        <w:widowControl w:val="false"/>
        <w:spacing w:before="0" w:after="120"/>
        <w:ind w:hanging="720" w:start="720" w:end="0"/>
        <w:rPr/>
      </w:pPr>
      <w:r>
        <w:rPr>
          <w:rStyle w:val="FootnoteCharacters"/>
        </w:rPr>
        <w:footnoteRef/>
      </w:r>
      <w:r>
        <w:rPr/>
        <w:tab/>
        <w:t>First day trading began March 29, 1996.</w:t>
      </w:r>
    </w:p>
  </w:footnote>
  <w:footnote w:id="26">
    <w:p>
      <w:pPr>
        <w:pStyle w:val="FootnoteText"/>
        <w:widowControl w:val="false"/>
        <w:spacing w:before="0" w:after="120"/>
        <w:ind w:hanging="720" w:start="720" w:end="0"/>
        <w:rPr/>
      </w:pPr>
      <w:r>
        <w:rPr>
          <w:rStyle w:val="FootnoteCharacters"/>
        </w:rPr>
        <w:footnoteRef/>
      </w:r>
      <w:r>
        <w:rPr/>
        <w:tab/>
        <w:t>First day trading began July 10, 1998.</w:t>
      </w:r>
    </w:p>
  </w:footnote>
  <w:footnote w:id="27">
    <w:p>
      <w:pPr>
        <w:pStyle w:val="FootnoteText"/>
        <w:widowControl w:val="false"/>
        <w:spacing w:before="0" w:after="120"/>
        <w:ind w:hanging="720" w:start="720" w:end="0"/>
        <w:rPr/>
      </w:pPr>
      <w:r>
        <w:rPr>
          <w:rStyle w:val="FootnoteCharacters"/>
        </w:rPr>
        <w:footnoteRef/>
      </w:r>
      <w:r>
        <w:rPr/>
        <w:tab/>
        <w:t>First day trading began July 10, 1998.</w:t>
      </w:r>
    </w:p>
  </w:footnote>
  <w:footnote w:id="28">
    <w:p>
      <w:pPr>
        <w:pStyle w:val="FootnoteText"/>
        <w:widowControl w:val="false"/>
        <w:spacing w:before="0" w:after="120"/>
        <w:ind w:hanging="720" w:start="720" w:end="0"/>
        <w:rPr/>
      </w:pPr>
      <w:r>
        <w:rPr>
          <w:rStyle w:val="FootnoteCharacters"/>
        </w:rPr>
        <w:footnoteRef/>
      </w:r>
      <w:r>
        <w:rPr/>
        <w:tab/>
        <w:t>In the case of the PJM, the CBOT contract differs from the one traded on NYMEX.</w:t>
      </w:r>
    </w:p>
  </w:footnote>
  <w:footnote w:id="29">
    <w:p>
      <w:pPr>
        <w:pStyle w:val="FootnoteText"/>
        <w:widowControl w:val="false"/>
        <w:spacing w:before="0" w:after="120"/>
        <w:ind w:hanging="720" w:start="720" w:end="0"/>
        <w:rPr/>
      </w:pPr>
      <w:r>
        <w:rPr>
          <w:rStyle w:val="FootnoteCharacters"/>
        </w:rPr>
        <w:footnoteRef/>
      </w:r>
      <w:r>
        <w:rPr/>
        <w:tab/>
        <w:t xml:space="preserve">For example, NYMEX has defined the PJM futures contract in great detail.  The defined “terms and conditions” include a delivery location (PJM western hub), a delivery rate (2 megawatts throughout every hour of the delivery period during all delivery hours), a contract size (736 megawatt hours of firm electricity, a delivery period (16 on-peak hours: hour ending 0800 to hour ending 2300 on each business day of the delivery month), a trading date (18 months in the future), and regulation of price fluctuations ($0.01 per MWh, with a maximum fluctuation of $10.00 per MWh per trading day).  NYMEX, “Exchange sets trading hours for PJM Futures Contract,” http://www.marketcenter.com/press/index.cgi?release=2143&amp;exchange= nymex.  </w:t>
      </w:r>
    </w:p>
  </w:footnote>
  <w:footnote w:id="30">
    <w:p>
      <w:pPr>
        <w:pStyle w:val="FootnoteText"/>
        <w:widowControl w:val="false"/>
        <w:spacing w:before="0" w:after="120"/>
        <w:ind w:hanging="720" w:start="720" w:end="0"/>
        <w:rPr/>
      </w:pPr>
      <w:r>
        <w:rPr>
          <w:rStyle w:val="FootnoteCharacters"/>
        </w:rPr>
        <w:footnoteRef/>
      </w:r>
      <w:r>
        <w:rPr/>
        <w:tab/>
        <w:t xml:space="preserve">The electricity market in the United Kingdom, and the rules that govern it, are evolving.  Today there are two forms of electricity market in England and Wales.  The first is a Pool characterized as a day-ahead, ex ante mandatory spot market with half-hourly prices.  The second is a contract market, primarily for “contracts for differences” against the Pool price used to reduce exposure to Pool price volatility.  The terms and conditions in the contracts for differences (CFD) market are not made public.  Generators and some demand-side bidders submit daily bids into the Pool at 10:00 am.  These bids can be far from simple, containing a range of price levels and associated volumes along with information related to plant dynamics.  At 4:00 PM the day ahead of trading, Pool SMPs, not individual prices, are made public, and are published the following day in the Financial Times.  These are ex-ante prices.  The final, ex-post, Pool prices do not become public until 28 days after trading ends.  Currently, all information, including generator bid and offer data going </w:t>
      </w:r>
      <w:r>
        <w:rPr>
          <w:b/>
        </w:rPr>
        <w:t xml:space="preserve">[Are you sure?] </w:t>
      </w:r>
      <w:r>
        <w:rPr/>
        <w:t>into the Unconstrained Schedule and information regarding the marginal generating set, is available to the public.  However, even Pool-related information can be kept confidential upon a showing that it is commercially sensitive.</w:t>
      </w:r>
    </w:p>
  </w:footnote>
  <w:footnote w:id="31">
    <w:p>
      <w:pPr>
        <w:pStyle w:val="FootnoteText"/>
        <w:widowControl w:val="false"/>
        <w:spacing w:before="0" w:after="120"/>
        <w:ind w:hanging="720" w:start="720" w:end="0"/>
        <w:rPr/>
      </w:pPr>
      <w:r>
        <w:rPr>
          <w:rStyle w:val="FootnoteCharacters"/>
        </w:rPr>
        <w:footnoteRef/>
      </w:r>
      <w:r>
        <w:rPr/>
        <w:tab/>
        <w:t>Transpower is not informed about the commercial terms because it does not need that information to perform its dispatch function.</w:t>
      </w:r>
    </w:p>
  </w:footnote>
  <w:footnote w:id="32">
    <w:p>
      <w:pPr>
        <w:pStyle w:val="FootnoteText"/>
        <w:widowControl w:val="false"/>
        <w:spacing w:before="0" w:after="120"/>
        <w:ind w:hanging="720" w:start="720" w:end="0"/>
        <w:rPr/>
      </w:pPr>
      <w:r>
        <w:rPr>
          <w:rStyle w:val="FootnoteCharacters"/>
        </w:rPr>
        <w:footnoteRef/>
      </w:r>
      <w:r>
        <w:rPr/>
        <w:tab/>
        <w:t>The IMO is an organization similar to an Independent System Operator (“ISO”) in the U.S.</w:t>
      </w:r>
    </w:p>
  </w:footnote>
  <w:footnote w:id="33">
    <w:p>
      <w:pPr>
        <w:pStyle w:val="FootnoteText"/>
        <w:widowControl w:val="false"/>
        <w:spacing w:before="0" w:after="120"/>
        <w:ind w:hanging="720" w:start="720" w:end="0"/>
        <w:rPr/>
      </w:pPr>
      <w:r>
        <w:rPr>
          <w:rStyle w:val="FootnoteCharacters"/>
        </w:rPr>
        <w:footnoteRef/>
      </w:r>
      <w:r>
        <w:rPr/>
        <w:tab/>
        <w:t xml:space="preserve">Economic discrimination occurs when the ratio of the price for two services differs from the ratio of the marginal, or incremental, costs of providing the two services.  Hence, if serving Smith costs twice as much as serving Jones, a rate structure that charges Smith and Jones the same fee would involve economic discrimination.  It might also fail to meet the criteria for “fairness” as well.  William Baumol, </w:t>
      </w:r>
      <w:r>
        <w:rPr>
          <w:i/>
        </w:rPr>
        <w:t>Superfairness</w:t>
      </w:r>
      <w:r>
        <w:rPr/>
        <w:t xml:space="preserve"> (MIT, 1986).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lang w:val="en-CA"/>
      </w:rPr>
    </w:pPr>
    <w:r>
      <w:rPr>
        <w:b/>
        <w:sz w:val="20"/>
        <w:lang w:val="en-CA"/>
      </w:rPr>
      <w:t xml:space="preserve">DB COMMENTS:  </w:t>
    </w:r>
    <w:r>
      <w:rPr>
        <w:b/>
        <w:sz w:val="20"/>
        <w:lang w:val="en-CA"/>
      </w:rPr>
      <w:fldChar w:fldCharType="begin"/>
    </w:r>
    <w:r>
      <w:rPr>
        <w:sz w:val="20"/>
        <w:b/>
        <w:lang w:val="en-CA"/>
      </w:rPr>
      <w:instrText xml:space="preserve"> DATE \@"MM\/dd\/yy" </w:instrText>
    </w:r>
    <w:r>
      <w:rPr>
        <w:sz w:val="20"/>
        <w:b/>
        <w:lang w:val="en-CA"/>
      </w:rPr>
      <w:fldChar w:fldCharType="separate"/>
    </w:r>
    <w:r>
      <w:rPr>
        <w:sz w:val="20"/>
        <w:b/>
        <w:lang w:val="en-CA"/>
      </w:rPr>
      <w:t>09/28/25</w:t>
    </w:r>
    <w:r>
      <w:rPr>
        <w:sz w:val="20"/>
        <w:b/>
        <w:lang w:val="en-CA"/>
      </w:rPr>
      <w:fldChar w:fldCharType="end"/>
    </w:r>
    <w:r>
      <w:rPr>
        <w:b/>
        <w:sz w:val="20"/>
        <w:lang w:val="en-CA"/>
      </w:rPr>
      <w:t xml:space="preserve">    </w:t>
    </w:r>
    <w:r>
      <w:rPr>
        <w:b/>
        <w:sz w:val="20"/>
        <w:lang w:val="en-CA"/>
      </w:rPr>
      <w:fldChar w:fldCharType="begin"/>
    </w:r>
    <w:r>
      <w:rPr>
        <w:sz w:val="20"/>
        <w:b/>
        <w:lang w:val="en-CA"/>
      </w:rPr>
      <w:instrText xml:space="preserve"> TIME \@"H:mm\ AM/PM" </w:instrText>
    </w:r>
    <w:r>
      <w:rPr>
        <w:sz w:val="20"/>
        <w:b/>
        <w:lang w:val="en-CA"/>
      </w:rPr>
      <w:fldChar w:fldCharType="separate"/>
    </w:r>
    <w:r>
      <w:rPr>
        <w:sz w:val="20"/>
        <w:b/>
        <w:lang w:val="en-CA"/>
      </w:rPr>
      <w:t>8:45 AM</w:t>
    </w:r>
    <w:r>
      <w:rPr>
        <w:sz w:val="20"/>
        <w:b/>
        <w:lang w:val="en-CA"/>
      </w:rPr>
      <w:fldChar w:fldCharType="end"/>
    </w:r>
  </w:p>
  <w:p>
    <w:pPr>
      <w:pStyle w:val="Header"/>
      <w:spacing w:before="0" w:after="240"/>
      <w:rPr>
        <w:b/>
        <w:sz w:val="20"/>
        <w:lang w:val="en-CA"/>
      </w:rPr>
    </w:pPr>
    <w:r>
      <w:rPr>
        <w:b/>
        <w:sz w:val="20"/>
        <w:lang w:val="en-C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b/>
        <w:sz w:val="20"/>
        <w:lang w:val="en-CA"/>
      </w:rPr>
      <w:t xml:space="preserve">DB COMMENTS:  </w:t>
    </w:r>
    <w:r>
      <w:rPr>
        <w:b/>
        <w:sz w:val="20"/>
        <w:lang w:val="en-CA"/>
      </w:rPr>
      <w:fldChar w:fldCharType="begin"/>
    </w:r>
    <w:r>
      <w:rPr>
        <w:sz w:val="20"/>
        <w:b/>
        <w:lang w:val="en-CA"/>
      </w:rPr>
      <w:instrText xml:space="preserve"> DATE \@"MM\/dd\/yy" </w:instrText>
    </w:r>
    <w:r>
      <w:rPr>
        <w:sz w:val="20"/>
        <w:b/>
        <w:lang w:val="en-CA"/>
      </w:rPr>
      <w:fldChar w:fldCharType="separate"/>
    </w:r>
    <w:r>
      <w:rPr>
        <w:sz w:val="20"/>
        <w:b/>
        <w:lang w:val="en-CA"/>
      </w:rPr>
      <w:t>09/28/25</w:t>
    </w:r>
    <w:r>
      <w:rPr>
        <w:sz w:val="20"/>
        <w:b/>
        <w:lang w:val="en-CA"/>
      </w:rPr>
      <w:fldChar w:fldCharType="end"/>
    </w:r>
    <w:r>
      <w:rPr>
        <w:b/>
        <w:sz w:val="20"/>
        <w:lang w:val="en-CA"/>
      </w:rPr>
      <w:t xml:space="preserve">    </w:t>
    </w:r>
    <w:r>
      <w:rPr>
        <w:b/>
        <w:sz w:val="20"/>
        <w:lang w:val="en-CA"/>
      </w:rPr>
      <w:fldChar w:fldCharType="begin"/>
    </w:r>
    <w:r>
      <w:rPr>
        <w:sz w:val="20"/>
        <w:b/>
        <w:lang w:val="en-CA"/>
      </w:rPr>
      <w:instrText xml:space="preserve"> TIME \@"H:mm\ AM/PM" </w:instrText>
    </w:r>
    <w:r>
      <w:rPr>
        <w:sz w:val="20"/>
        <w:b/>
        <w:lang w:val="en-CA"/>
      </w:rPr>
      <w:fldChar w:fldCharType="separate"/>
    </w:r>
    <w:r>
      <w:rPr>
        <w:sz w:val="20"/>
        <w:b/>
        <w:lang w:val="en-CA"/>
      </w:rPr>
      <w:t>8:45 AM</w:t>
    </w:r>
    <w:r>
      <w:rPr>
        <w:sz w:val="20"/>
        <w:b/>
        <w:lang w:val="en-CA"/>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rFonts w:ascii="Arial" w:hAnsi="Arial" w:cs="Arial"/>
      </w:r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360"/>
        </w:tabs>
        <w:ind w:start="0" w:hanging="0"/>
      </w:pPr>
    </w:lvl>
    <w:lvl w:ilvl="3">
      <w:start w:val="1"/>
      <w:numFmt w:val="lowerLetter"/>
      <w:lvlText w:val="(%4)"/>
      <w:lvlJc w:val="start"/>
      <w:pPr>
        <w:tabs>
          <w:tab w:val="num" w:pos="2880"/>
        </w:tabs>
        <w:ind w:start="2880" w:hanging="720"/>
      </w:pPr>
    </w:lvl>
    <w:lvl w:ilvl="4">
      <w:start w:val="1"/>
      <w:numFmt w:val="lowerRoman"/>
      <w:lvlText w:val="(%5)"/>
      <w:lvlJc w:val="start"/>
      <w:pPr>
        <w:tabs>
          <w:tab w:val="num" w:pos="216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trailer" w:val="draft"/>
    <w:docVar w:name="TrailerWindowName" w:val="4T7402!.DOC"/>
    <w:docVar w:name="TrlrDateFlag" w:val=" 1"/>
    <w:docVar w:name="TrlrDOSFlag" w:val=" 0"/>
    <w:docVar w:name="TrlrDraftFlag" w:val=" 1"/>
    <w:docVar w:name="TrlrTimeFlag" w:val=" 1"/>
    <w:docVar w:name="TrlrTypeFlag" w:val=" 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Arial" w:hAnsi="Arial" w:eastAsia="Times New Roman;Times New Roman" w:cs="Arial"/>
      <w:color w:val="auto"/>
      <w:spacing w:val="-2"/>
      <w:sz w:val="22"/>
      <w:szCs w:val="20"/>
      <w:lang w:val="en-US" w:eastAsia="zh-CN" w:bidi="hi-IN"/>
    </w:rPr>
  </w:style>
  <w:style w:type="paragraph" w:styleId="Heading1">
    <w:name w:val="heading 1"/>
    <w:basedOn w:val="Normal"/>
    <w:next w:val="Normal"/>
    <w:qFormat/>
    <w:pPr>
      <w:keepNext w:val="true"/>
      <w:numPr>
        <w:ilvl w:val="0"/>
        <w:numId w:val="1"/>
      </w:numPr>
      <w:ind w:hanging="0" w:start="0" w:end="1440"/>
      <w:jc w:val="start"/>
      <w:outlineLvl w:val="0"/>
    </w:pPr>
    <w:rPr>
      <w:b/>
      <w:caps/>
      <w:sz w:val="24"/>
    </w:rPr>
  </w:style>
  <w:style w:type="paragraph" w:styleId="Heading2">
    <w:name w:val="heading 2"/>
    <w:basedOn w:val="Heading1"/>
    <w:next w:val="Normal"/>
    <w:qFormat/>
    <w:pPr>
      <w:numPr>
        <w:ilvl w:val="1"/>
        <w:numId w:val="1"/>
      </w:numPr>
      <w:tabs>
        <w:tab w:val="clear" w:pos="720"/>
      </w:tabs>
      <w:ind w:hanging="0" w:start="1440" w:end="1440"/>
      <w:outlineLvl w:val="1"/>
    </w:pPr>
    <w:rPr>
      <w:caps w:val="false"/>
      <w:smallCaps w:val="false"/>
    </w:rPr>
  </w:style>
  <w:style w:type="paragraph" w:styleId="Heading3">
    <w:name w:val="heading 3"/>
    <w:basedOn w:val="Heading1"/>
    <w:next w:val="Normal"/>
    <w:qFormat/>
    <w:pPr>
      <w:numPr>
        <w:ilvl w:val="2"/>
        <w:numId w:val="1"/>
      </w:numPr>
      <w:outlineLvl w:val="2"/>
    </w:pPr>
    <w:rPr>
      <w:b w:val="false"/>
      <w:i/>
      <w:caps w:val="false"/>
      <w:smallCaps w:val="false"/>
    </w:rPr>
  </w:style>
  <w:style w:type="paragraph" w:styleId="Heading4">
    <w:name w:val="heading 4"/>
    <w:basedOn w:val="Normal"/>
    <w:next w:val="Normal"/>
    <w:qFormat/>
    <w:pPr>
      <w:keepNext w:val="true"/>
      <w:spacing w:lineRule="auto" w:line="480"/>
      <w:outlineLvl w:val="3"/>
    </w:pPr>
    <w:rPr>
      <w:b/>
      <w:sz w:val="24"/>
    </w:rPr>
  </w:style>
  <w:style w:type="paragraph" w:styleId="Heading5">
    <w:name w:val="heading 5"/>
    <w:basedOn w:val="Normal"/>
    <w:next w:val="Normal"/>
    <w:qFormat/>
    <w:pPr>
      <w:keepNext w:val="true"/>
      <w:outlineLvl w:val="4"/>
    </w:pPr>
    <w:rPr>
      <w:sz w:val="24"/>
      <w:u w:val="single"/>
    </w:rPr>
  </w:style>
  <w:style w:type="paragraph" w:styleId="Heading6">
    <w:name w:val="heading 6"/>
    <w:basedOn w:val="Normal"/>
    <w:next w:val="Normal"/>
    <w:qFormat/>
    <w:pPr>
      <w:keepNext w:val="true"/>
      <w:spacing w:lineRule="auto" w:line="480"/>
      <w:ind w:firstLine="720" w:start="0" w:end="0"/>
      <w:outlineLvl w:val="5"/>
    </w:pPr>
    <w:rPr>
      <w:b/>
      <w:sz w:val="24"/>
    </w:rPr>
  </w:style>
  <w:style w:type="paragraph" w:styleId="Heading7">
    <w:name w:val="heading 7"/>
    <w:basedOn w:val="Normal"/>
    <w:next w:val="Normal"/>
    <w:qFormat/>
    <w:pPr>
      <w:keepNext w:val="true"/>
      <w:widowControl w:val="false"/>
      <w:spacing w:lineRule="auto" w:line="480" w:before="0" w:after="0"/>
      <w:jc w:val="center"/>
      <w:outlineLvl w:val="6"/>
    </w:pPr>
    <w:rPr>
      <w:b/>
      <w:sz w:val="24"/>
    </w:rPr>
  </w:style>
  <w:style w:type="paragraph" w:styleId="Heading8">
    <w:name w:val="heading 8"/>
    <w:basedOn w:val="Normal"/>
    <w:next w:val="Normal"/>
    <w:qFormat/>
    <w:pPr>
      <w:spacing w:before="240" w:after="60"/>
      <w:jc w:val="start"/>
      <w:outlineLvl w:val="7"/>
    </w:pPr>
    <w:rPr>
      <w:i/>
      <w:spacing w:val="0"/>
      <w:sz w:val="20"/>
    </w:rPr>
  </w:style>
  <w:style w:type="paragraph" w:styleId="Heading9">
    <w:name w:val="heading 9"/>
    <w:basedOn w:val="Normal"/>
    <w:next w:val="Normal"/>
    <w:qFormat/>
    <w:pPr>
      <w:spacing w:before="240" w:after="60"/>
      <w:jc w:val="start"/>
      <w:outlineLvl w:val="8"/>
    </w:pPr>
    <w:rPr>
      <w:b/>
      <w:i/>
      <w:spacing w:val="0"/>
      <w:sz w:val="18"/>
    </w:rPr>
  </w:style>
  <w:style w:type="character" w:styleId="WW8Num1z0">
    <w:name w:val="WW8Num1z0"/>
    <w:qFormat/>
    <w:rPr>
      <w:b/>
    </w:rPr>
  </w:style>
  <w:style w:type="character" w:styleId="WW8Num2z0">
    <w:name w:val="WW8Num2z0"/>
    <w:qFormat/>
    <w:rPr>
      <w:b/>
    </w:rPr>
  </w:style>
  <w:style w:type="character" w:styleId="WW8Num4z0">
    <w:name w:val="WW8Num4z0"/>
    <w:qFormat/>
    <w:rPr>
      <w:b/>
    </w:rPr>
  </w:style>
  <w:style w:type="character" w:styleId="WW8Num5z0">
    <w:name w:val="WW8Num5z0"/>
    <w:qFormat/>
    <w:rPr>
      <w:rFonts w:ascii="Arial" w:hAnsi="Arial" w:cs="Arial"/>
    </w:rPr>
  </w:style>
  <w:style w:type="character" w:styleId="WW8Num6z0">
    <w:name w:val="WW8Num6z0"/>
    <w:qFormat/>
    <w:rPr>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character" w:styleId="Hyperlink">
    <w:name w:val="Hyperlink"/>
    <w:basedOn w:val="DefaultParagraphFont"/>
    <w:rPr>
      <w:color w:val="0000FF"/>
      <w:sz w:val="2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Normal"/>
    <w:pPr>
      <w:numPr>
        <w:ilvl w:val="0"/>
        <w:numId w:val="3"/>
      </w:numPr>
      <w:tabs>
        <w:tab w:val="clear" w:pos="720"/>
        <w:tab w:val="left" w:pos="1440" w:leader="none"/>
      </w:tabs>
      <w:spacing w:lineRule="auto" w:line="480"/>
      <w:ind w:hanging="720" w:start="144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e">
    <w:name w:val="singlespace"/>
    <w:basedOn w:val="Normal"/>
    <w:qFormat/>
    <w:pPr>
      <w:spacing w:before="0" w:after="0"/>
    </w:pPr>
    <w:rPr/>
  </w:style>
  <w:style w:type="paragraph" w:styleId="extract">
    <w:name w:val="extract"/>
    <w:basedOn w:val="Normal"/>
    <w:next w:val="Normal"/>
    <w:qFormat/>
    <w:pPr>
      <w:spacing w:before="40" w:after="280"/>
      <w:ind w:hanging="0" w:start="720" w:end="720"/>
    </w:pPr>
    <w:rPr/>
  </w:style>
  <w:style w:type="paragraph" w:styleId="FootnoteText">
    <w:name w:val="footnote text"/>
    <w:basedOn w:val="Normal"/>
    <w:pPr>
      <w:widowControl w:val="false"/>
      <w:spacing w:before="0" w:after="120"/>
      <w:ind w:hanging="720" w:start="720" w:end="0"/>
    </w:pPr>
    <w:rPr>
      <w:spacing w:val="0"/>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6480" w:leader="none"/>
        <w:tab w:val="right" w:pos="12960" w:leader="none"/>
      </w:tabs>
      <w:spacing w:before="120" w:after="0"/>
    </w:pPr>
    <w:rPr/>
  </w:style>
  <w:style w:type="paragraph" w:styleId="bullet1">
    <w:name w:val="bullet1"/>
    <w:basedOn w:val="Normal"/>
    <w:qFormat/>
    <w:pPr>
      <w:numPr>
        <w:ilvl w:val="0"/>
        <w:numId w:val="2"/>
      </w:numPr>
      <w:spacing w:before="0" w:after="180"/>
      <w:ind w:hanging="432" w:start="1170" w:end="720"/>
    </w:pPr>
    <w:rPr/>
  </w:style>
  <w:style w:type="paragraph" w:styleId="bullet2">
    <w:name w:val="bullet2"/>
    <w:basedOn w:val="bullet1"/>
    <w:qFormat/>
    <w:pPr>
      <w:ind w:hanging="432" w:start="1440" w:end="720"/>
    </w:pPr>
    <w:rPr/>
  </w:style>
  <w:style w:type="paragraph" w:styleId="bullet3">
    <w:name w:val="bullet3"/>
    <w:basedOn w:val="bullet2"/>
    <w:qFormat/>
    <w:pPr>
      <w:ind w:hanging="432" w:start="1800" w:end="720"/>
    </w:pPr>
    <w:rPr/>
  </w:style>
  <w:style w:type="paragraph" w:styleId="PlainText">
    <w:name w:val="Plain Text"/>
    <w:basedOn w:val="Normal"/>
    <w:qFormat/>
    <w:pPr>
      <w:spacing w:before="0" w:after="0"/>
      <w:jc w:val="start"/>
    </w:pPr>
    <w:rPr>
      <w:rFonts w:ascii="Courier New" w:hAnsi="Courier New" w:cs="Courier New"/>
      <w:spacing w:val="0"/>
      <w:sz w:val="20"/>
    </w:rPr>
  </w:style>
  <w:style w:type="paragraph" w:styleId="BodyText2">
    <w:name w:val="Body Text 2"/>
    <w:basedOn w:val="Normal"/>
    <w:qFormat/>
    <w:pPr>
      <w:spacing w:lineRule="auto" w:line="480" w:before="0" w:after="0"/>
    </w:pPr>
    <w:rPr>
      <w:rFonts w:ascii="Helvetica" w:hAnsi="Helvetica" w:cs="Helvetica"/>
      <w:sz w:val="24"/>
    </w:rPr>
  </w:style>
  <w:style w:type="paragraph" w:styleId="BodyTextIndent">
    <w:name w:val="Body Text Indent"/>
    <w:basedOn w:val="Normal"/>
    <w:pPr>
      <w:ind w:hanging="0" w:start="1440" w:end="1440"/>
    </w:pPr>
    <w:rPr>
      <w:sz w:val="24"/>
    </w:rPr>
  </w:style>
  <w:style w:type="paragraph" w:styleId="BodyTextIndent2">
    <w:name w:val="Body Text Indent 2"/>
    <w:basedOn w:val="Normal"/>
    <w:qFormat/>
    <w:pPr>
      <w:spacing w:lineRule="auto" w:line="360" w:before="0" w:after="0"/>
      <w:ind w:firstLine="720" w:start="0" w:end="0"/>
    </w:pPr>
    <w:rPr>
      <w:rFonts w:ascii="Courier New" w:hAnsi="Courier New" w:cs="Courier New"/>
      <w:spacing w:val="0"/>
      <w:sz w:val="24"/>
    </w:rPr>
  </w:style>
  <w:style w:type="paragraph" w:styleId="BodyTextIndent3">
    <w:name w:val="Body Text Indent 3"/>
    <w:basedOn w:val="Normal"/>
    <w:qFormat/>
    <w:pPr>
      <w:ind w:firstLine="720" w:start="720" w:end="0"/>
    </w:pPr>
    <w:rPr>
      <w:sz w:val="24"/>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spacing w:lineRule="auto" w:line="480"/>
      <w:ind w:hanging="0" w:start="720" w:end="0"/>
      <w:jc w:val="start"/>
    </w:pPr>
    <w:rPr>
      <w:spacing w:val="0"/>
      <w:sz w:val="24"/>
    </w:rPr>
  </w:style>
  <w:style w:type="paragraph" w:styleId="Answer">
    <w:name w:val="Answer"/>
    <w:basedOn w:val="Normal"/>
    <w:qFormat/>
    <w:pPr>
      <w:spacing w:lineRule="auto" w:line="360"/>
      <w:ind w:hanging="720" w:start="720" w:end="0"/>
    </w:pPr>
    <w:rPr/>
  </w:style>
  <w:style w:type="paragraph" w:styleId="BodyText3">
    <w:name w:val="Body Text 3"/>
    <w:basedOn w:val="Normal"/>
    <w:qFormat/>
    <w:pPr>
      <w:spacing w:lineRule="auto" w:line="480"/>
      <w:ind w:hanging="0" w:start="0" w:end="-9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1999-06-24T13:38:00Z</dcterms:created>
  <dc:creator>MGERGEN</dc:creator>
  <dc:description/>
  <dc:language>en-CA</dc:language>
  <cp:lastModifiedBy>  </cp:lastModifiedBy>
  <cp:lastPrinted>1999-06-23T12:01:00Z</cp:lastPrinted>
  <dcterms:modified xsi:type="dcterms:W3CDTF">1999-06-24T13:38:00Z</dcterms:modified>
  <cp:revision>2</cp:revision>
  <dc:subject/>
  <dc:title>MG: PHB/Pifer draft affidavit</dc:title>
</cp:coreProperties>
</file>