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pBdr>
          <w:top w:val="single" w:sz="12" w:space="1" w:color="000000"/>
        </w:pBdr>
        <w:rPr/>
      </w:pPr>
      <w:r>
        <w:rPr/>
      </w:r>
    </w:p>
    <w:p>
      <w:pPr>
        <w:pStyle w:val="Normal"/>
        <w:pBdr>
          <w:top w:val="single" w:sz="12" w:space="1" w:color="000000"/>
        </w:pBdr>
        <w:rPr/>
      </w:pPr>
      <w:r>
        <w:rPr/>
        <w:t>HV Marine Services, Inc. (“HV Marine”) is an integrated offshore cargo transportation company headquartered in New Orleans, Louisiana.  HV Marine was formed on 6/1/97 to join the tug and tank barge marine assets of Leevac marine, Inc. with Hornbeck Offshore Services, Inc.  Originally, HV Marine conducted its marine operation through a company-owned fleet consisting of six tank barges and three tugs.  Currently, the Company has expanded its fleet through acquisitions and construction of vessels which was made possible through Enron’s investment.  The investment was to help finance the construction of up to eight Offshore Service Vessels, at a cost of approximately $8MM each, to pay fees related to the transaction and for general corporate purposes.  During 1999, the Company swapped three 200-foot boats for two 240-foot boats, which will total 7 boats for the building program.  Senior Management for HV Marine has extensive industry experience as well as an established reputation.</w:t>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napToGrid w:val="false"/>
              <w:spacing w:before="0" w:after="120"/>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 xml:space="preserve">LEGAL NAME REPRESENTED BY STOCK: </w:t>
      </w:r>
      <w:r>
        <w:rPr/>
        <w:t>HV Marine Services, Inc.</w:t>
      </w:r>
    </w:p>
    <w:p>
      <w:pPr>
        <w:pStyle w:val="Normal"/>
        <w:pBdr>
          <w:top w:val="single" w:sz="12" w:space="1" w:color="000000"/>
          <w:bottom w:val="single" w:sz="12" w:space="1" w:color="000000"/>
        </w:pBdr>
        <w:rPr/>
      </w:pPr>
      <w:r>
        <w:rPr>
          <w:b/>
        </w:rPr>
        <w:t>TICKER SYMBOL:</w:t>
      </w:r>
      <w:r>
        <w:rPr/>
        <w:t xml:space="preserve"> N/A</w:t>
      </w:r>
    </w:p>
    <w:p>
      <w:pPr>
        <w:pStyle w:val="Normal"/>
        <w:pBdr>
          <w:top w:val="single" w:sz="12" w:space="1" w:color="000000"/>
          <w:bottom w:val="single" w:sz="12" w:space="1" w:color="000000"/>
        </w:pBdr>
        <w:rPr/>
      </w:pPr>
      <w:r>
        <w:rPr>
          <w:b/>
        </w:rPr>
        <w:t xml:space="preserve">TYPE OF INVESTMENT: </w:t>
      </w:r>
      <w:r>
        <w:rPr/>
        <w:t>warrants</w:t>
      </w:r>
    </w:p>
    <w:p>
      <w:pPr>
        <w:pStyle w:val="Normal"/>
        <w:pBdr>
          <w:top w:val="single" w:sz="12" w:space="1" w:color="000000"/>
          <w:bottom w:val="single" w:sz="12" w:space="1" w:color="000000"/>
        </w:pBdr>
        <w:rPr>
          <w:b/>
        </w:rPr>
      </w:pPr>
      <w:r>
        <w:rPr>
          <w:b/>
        </w:rPr>
        <w:t>TRADING EXCHANGE:</w:t>
      </w:r>
      <w:r>
        <w:rPr/>
        <w:t xml:space="preserve"> N/A</w:t>
      </w:r>
    </w:p>
    <w:p>
      <w:pPr>
        <w:pStyle w:val="Normal"/>
        <w:pBdr>
          <w:top w:val="single" w:sz="12" w:space="1" w:color="000000"/>
          <w:bottom w:val="single" w:sz="12" w:space="1" w:color="000000"/>
        </w:pBdr>
        <w:rPr/>
      </w:pPr>
      <w:r>
        <w:rPr>
          <w:b/>
        </w:rPr>
        <w:t xml:space="preserve">STRIKE PRICE:  </w:t>
      </w:r>
      <w:r>
        <w:rPr/>
        <w:t>$3.03324/warrant ($27,082,500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8,928,571</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/mnt/main-storage/datasets/enron-docs/doc/HV_Marine_Warrants-8ecae45fb7719b257a66a653638e51c6c6c38f7ff701465f31d29713dacaea24.doc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/mnt/main-storage/datasets/enron-docs/doc/HV_Marine_Warrants-8ecae45fb7719b257a66a653638e51c6c6c38f7ff701465f31d29713dacaea24.doc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2000-09-06T13:35:00Z</dcterms:created>
  <dc:creator>mruane</dc:creator>
  <dc:description>MR: 9-20-99 added tax signoff</dc:description>
  <dc:language>en-CA</dc:language>
  <cp:lastModifiedBy>brian schwertner</cp:lastModifiedBy>
  <cp:lastPrinted>2000-09-08T17:47:00Z</cp:lastPrinted>
  <dcterms:modified xsi:type="dcterms:W3CDTF">2000-09-08T20:18:00Z</dcterms:modified>
  <cp:revision>12</cp:revision>
  <dc:subject/>
  <dc:title>ENRON RISK ASSESSMENT AND CONTROL</dc:title>
</cp:coreProperties>
</file>