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png" ContentType="image/png"/>
  <Override PartName="/word/media/image5.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aNBodyText"/>
        <w:rPr/>
      </w:pPr>
      <w:bookmarkStart w:id="0" w:name="NewRec2"/>
      <w:bookmarkStart w:id="1" w:name="Subtitle2"/>
      <w:bookmarkStart w:id="2" w:name="Price2"/>
      <w:bookmarkEnd w:id="0"/>
      <w:bookmarkEnd w:id="1"/>
      <w:bookmarkEnd w:id="2"/>
      <w:r>
        <w:rPr/>
        <w:drawing>
          <wp:inline distT="0" distB="0" distL="0" distR="0">
            <wp:extent cx="318135" cy="17735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4" r="-21" b="-4"/>
                    <a:stretch>
                      <a:fillRect/>
                    </a:stretch>
                  </pic:blipFill>
                  <pic:spPr bwMode="auto">
                    <a:xfrm>
                      <a:off x="0" y="0"/>
                      <a:ext cx="318135" cy="177355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page">
                  <wp:posOffset>774700</wp:posOffset>
                </wp:positionH>
                <wp:positionV relativeFrom="page">
                  <wp:posOffset>389255</wp:posOffset>
                </wp:positionV>
                <wp:extent cx="5436870" cy="173355"/>
                <wp:effectExtent l="0" t="0" r="0" b="0"/>
                <wp:wrapSquare wrapText="bothSides"/>
                <wp:docPr id="2" name="Frame1"/>
                <a:graphic xmlns:a="http://schemas.openxmlformats.org/drawingml/2006/main">
                  <a:graphicData uri="http://schemas.microsoft.com/office/word/2010/wordprocessingShape">
                    <wps:wsp>
                      <wps:cNvSpPr txBox="1"/>
                      <wps:spPr>
                        <a:xfrm>
                          <a:off x="0" y="0"/>
                          <a:ext cx="5436870" cy="173355"/>
                        </a:xfrm>
                        <a:prstGeom prst="rect"/>
                        <a:solidFill>
                          <a:srgbClr val="FFFFFF">
                            <a:alpha val="0"/>
                          </a:srgbClr>
                        </a:solidFill>
                      </wps:spPr>
                      <wps:txbx>
                        <w:txbxContent>
                          <w:p>
                            <w:pPr>
                              <w:pStyle w:val="aaFCEventbar"/>
                              <w:pBdr>
                                <w:bottom w:val="single" w:sz="18" w:space="0" w:color="000000"/>
                              </w:pBdr>
                              <w:spacing w:before="0" w:after="80"/>
                              <w:rPr/>
                            </w:pPr>
                            <w:r>
                              <w:rPr/>
                            </w:r>
                            <w:bookmarkStart w:id="3" w:name="Option02"/>
                            <w:bookmarkStart w:id="4" w:name="Event2"/>
                            <w:bookmarkStart w:id="5" w:name="Option02"/>
                            <w:bookmarkStart w:id="6" w:name="Event2"/>
                            <w:bookmarkEnd w:id="5"/>
                            <w:bookmarkEnd w:id="6"/>
                          </w:p>
                        </w:txbxContent>
                      </wps:txbx>
                      <wps:bodyPr anchor="t" lIns="0" tIns="0" rIns="0" bIns="0">
                        <a:noAutofit/>
                      </wps:bodyPr>
                    </wps:wsp>
                  </a:graphicData>
                </a:graphic>
              </wp:anchor>
            </w:drawing>
          </mc:Choice>
          <mc:Fallback>
            <w:pict>
              <v:rect fillcolor="#FFFFFF" style="position:absolute;rotation:-0;width:428.1pt;height:13.65pt;mso-wrap-distance-left:0pt;mso-wrap-distance-right:0pt;mso-wrap-distance-top:0pt;mso-wrap-distance-bottom:0pt;margin-top:30.65pt;mso-position-vertical-relative:page;margin-left:61pt;mso-position-horizontal-relative:page">
                <v:fill opacity="0f"/>
                <v:textbox inset="0in,0in,0in,0in">
                  <w:txbxContent>
                    <w:p>
                      <w:pPr>
                        <w:pStyle w:val="aaFCEventbar"/>
                        <w:pBdr>
                          <w:bottom w:val="single" w:sz="18" w:space="0" w:color="000000"/>
                        </w:pBdr>
                        <w:spacing w:before="0" w:after="80"/>
                        <w:rPr/>
                      </w:pPr>
                      <w:r>
                        <w:rPr/>
                      </w:r>
                      <w:bookmarkStart w:id="7" w:name="Option02"/>
                      <w:bookmarkStart w:id="8" w:name="Event2"/>
                      <w:bookmarkStart w:id="9" w:name="Option02"/>
                      <w:bookmarkStart w:id="10" w:name="Event2"/>
                      <w:bookmarkEnd w:id="9"/>
                      <w:bookmarkEnd w:id="10"/>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732155</wp:posOffset>
                </wp:positionH>
                <wp:positionV relativeFrom="page">
                  <wp:posOffset>549275</wp:posOffset>
                </wp:positionV>
                <wp:extent cx="5372100" cy="460375"/>
                <wp:effectExtent l="0" t="0" r="0" b="0"/>
                <wp:wrapSquare wrapText="bothSides"/>
                <wp:docPr id="3" name="Frame2"/>
                <a:graphic xmlns:a="http://schemas.openxmlformats.org/drawingml/2006/main">
                  <a:graphicData uri="http://schemas.microsoft.com/office/word/2010/wordprocessingShape">
                    <wps:wsp>
                      <wps:cNvSpPr txBox="1"/>
                      <wps:spPr>
                        <a:xfrm>
                          <a:off x="0" y="0"/>
                          <a:ext cx="5372100" cy="460375"/>
                        </a:xfrm>
                        <a:prstGeom prst="rect"/>
                        <a:solidFill>
                          <a:srgbClr val="FFFFFF">
                            <a:alpha val="0"/>
                          </a:srgbClr>
                        </a:solidFill>
                      </wps:spPr>
                      <wps:txbx>
                        <w:txbxContent>
                          <w:p>
                            <w:pPr>
                              <w:pStyle w:val="aaFPTitle01"/>
                              <w:rPr>
                                <w:sz w:val="48"/>
                              </w:rPr>
                            </w:pPr>
                            <w:bookmarkStart w:id="11" w:name="Title2"/>
                            <w:bookmarkEnd w:id="11"/>
                            <w:r>
                              <w:rPr>
                                <w:sz w:val="48"/>
                              </w:rPr>
                              <w:t>Gasoline Technical Commentary</w:t>
                            </w:r>
                          </w:p>
                        </w:txbxContent>
                      </wps:txbx>
                      <wps:bodyPr anchor="t" lIns="0" tIns="0" rIns="0" bIns="0">
                        <a:noAutofit/>
                      </wps:bodyPr>
                    </wps:wsp>
                  </a:graphicData>
                </a:graphic>
              </wp:anchor>
            </w:drawing>
          </mc:Choice>
          <mc:Fallback>
            <w:pict>
              <v:rect fillcolor="#FFFFFF" style="position:absolute;rotation:-0;width:423pt;height:36.25pt;mso-wrap-distance-left:0pt;mso-wrap-distance-right:0pt;mso-wrap-distance-top:0pt;mso-wrap-distance-bottom:0pt;margin-top:43.25pt;mso-position-vertical-relative:page;margin-left:57.65pt;mso-position-horizontal-relative:page">
                <v:fill opacity="0f"/>
                <v:textbox inset="0in,0in,0in,0in">
                  <w:txbxContent>
                    <w:p>
                      <w:pPr>
                        <w:pStyle w:val="aaFPTitle01"/>
                        <w:rPr>
                          <w:sz w:val="48"/>
                        </w:rPr>
                      </w:pPr>
                      <w:bookmarkStart w:id="12" w:name="Title2"/>
                      <w:bookmarkEnd w:id="12"/>
                      <w:r>
                        <w:rPr>
                          <w:sz w:val="48"/>
                        </w:rPr>
                        <w:t>Gasoline Technical Commentary</w:t>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page">
                  <wp:posOffset>4023995</wp:posOffset>
                </wp:positionH>
                <wp:positionV relativeFrom="page">
                  <wp:posOffset>1737995</wp:posOffset>
                </wp:positionV>
                <wp:extent cx="2192655" cy="257175"/>
                <wp:effectExtent l="0" t="0" r="0" b="0"/>
                <wp:wrapSquare wrapText="bothSides"/>
                <wp:docPr id="4" name="Frame3"/>
                <a:graphic xmlns:a="http://schemas.openxmlformats.org/drawingml/2006/main">
                  <a:graphicData uri="http://schemas.microsoft.com/office/word/2010/wordprocessingShape">
                    <wps:wsp>
                      <wps:cNvSpPr txBox="1"/>
                      <wps:spPr>
                        <a:xfrm>
                          <a:off x="0" y="0"/>
                          <a:ext cx="2192655" cy="257175"/>
                        </a:xfrm>
                        <a:prstGeom prst="rect"/>
                        <a:solidFill>
                          <a:srgbClr val="FFFFFF">
                            <a:alpha val="0"/>
                          </a:srgbClr>
                        </a:solidFill>
                      </wps:spPr>
                      <wps:txbx>
                        <w:txbxContent>
                          <w:p>
                            <w:pPr>
                              <w:pStyle w:val="aaFCCountrySector"/>
                              <w:rPr>
                                <w:b/>
                                <w:sz w:val="20"/>
                              </w:rPr>
                            </w:pPr>
                            <w:bookmarkStart w:id="13" w:name="TeamB2"/>
                            <w:bookmarkStart w:id="14" w:name="TeamA2"/>
                            <w:bookmarkStart w:id="15" w:name="Country2"/>
                            <w:bookmarkStart w:id="16" w:name="date"/>
                            <w:bookmarkEnd w:id="13"/>
                            <w:bookmarkEnd w:id="14"/>
                            <w:bookmarkEnd w:id="15"/>
                            <w:bookmarkEnd w:id="16"/>
                            <w:r>
                              <w:rPr>
                                <w:b/>
                                <w:sz w:val="20"/>
                              </w:rPr>
                              <w:t>Monday, 30 July 2001</w:t>
                            </w:r>
                          </w:p>
                        </w:txbxContent>
                      </wps:txbx>
                      <wps:bodyPr anchor="t" lIns="0" tIns="0" rIns="0" bIns="0">
                        <a:noAutofit/>
                      </wps:bodyPr>
                    </wps:wsp>
                  </a:graphicData>
                </a:graphic>
              </wp:anchor>
            </w:drawing>
          </mc:Choice>
          <mc:Fallback>
            <w:pict>
              <v:rect fillcolor="#FFFFFF" style="position:absolute;rotation:-0;width:172.65pt;height:20.25pt;mso-wrap-distance-left:0pt;mso-wrap-distance-right:0pt;mso-wrap-distance-top:0pt;mso-wrap-distance-bottom:0pt;margin-top:136.85pt;mso-position-vertical-relative:page;margin-left:316.85pt;mso-position-horizontal-relative:page">
                <v:fill opacity="0f"/>
                <v:textbox inset="0in,0in,0in,0in">
                  <w:txbxContent>
                    <w:p>
                      <w:pPr>
                        <w:pStyle w:val="aaFCCountrySector"/>
                        <w:rPr>
                          <w:b/>
                          <w:sz w:val="20"/>
                        </w:rPr>
                      </w:pPr>
                      <w:bookmarkStart w:id="17" w:name="TeamB2"/>
                      <w:bookmarkStart w:id="18" w:name="TeamA2"/>
                      <w:bookmarkStart w:id="19" w:name="Country2"/>
                      <w:bookmarkStart w:id="20" w:name="date"/>
                      <w:bookmarkEnd w:id="17"/>
                      <w:bookmarkEnd w:id="18"/>
                      <w:bookmarkEnd w:id="19"/>
                      <w:bookmarkEnd w:id="20"/>
                      <w:r>
                        <w:rPr>
                          <w:b/>
                          <w:sz w:val="20"/>
                        </w:rPr>
                        <w:t>Monday, 30 July 2001</w:t>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page">
                  <wp:posOffset>3657600</wp:posOffset>
                </wp:positionH>
                <wp:positionV relativeFrom="page">
                  <wp:posOffset>1555750</wp:posOffset>
                </wp:positionV>
                <wp:extent cx="2648585" cy="464185"/>
                <wp:effectExtent l="0" t="0" r="0" b="0"/>
                <wp:wrapNone/>
                <wp:docPr id="5" name="Frame4"/>
                <a:graphic xmlns:a="http://schemas.openxmlformats.org/drawingml/2006/main">
                  <a:graphicData uri="http://schemas.microsoft.com/office/word/2010/wordprocessingShape">
                    <wps:wsp>
                      <wps:cNvSpPr txBox="1"/>
                      <wps:spPr>
                        <a:xfrm>
                          <a:off x="0" y="0"/>
                          <a:ext cx="2648585" cy="464185"/>
                        </a:xfrm>
                        <a:prstGeom prst="rect"/>
                        <a:solidFill>
                          <a:srgbClr val="FFFFFF">
                            <a:alpha val="0"/>
                          </a:srgbClr>
                        </a:solidFill>
                      </wps:spPr>
                      <wps:txbx>
                        <w:txbxContent>
                          <w:p>
                            <w:pPr>
                              <w:pStyle w:val="Normal"/>
                              <w:rPr/>
                            </w:pPr>
                            <w:r>
                              <w:rPr/>
                              <w:object w:dxaOrig="2594" w:dyaOrig="56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208.8pt;height:36.7pt" filled="f" o:ole="">
                                  <v:imagedata r:id="rId4" o:title=""/>
                                </v:shape>
                                <o:OLEObject Type="Embed" ProgID="" ShapeID="ole_rId3" DrawAspect="Content" ObjectID="_1826001734" r:id="rId3"/>
                              </w:object>
                            </w:r>
                          </w:p>
                        </w:txbxContent>
                      </wps:txbx>
                      <wps:bodyPr anchor="t" lIns="635" tIns="635" rIns="635" bIns="635">
                        <a:noAutofit/>
                      </wps:bodyPr>
                    </wps:wsp>
                  </a:graphicData>
                </a:graphic>
              </wp:anchor>
            </w:drawing>
          </mc:Choice>
          <mc:Fallback>
            <w:pict>
              <v:rect fillcolor="#FFFFFF" style="position:absolute;rotation:-0;width:208.55pt;height:36.55pt;mso-wrap-distance-left:9.05pt;mso-wrap-distance-right:9.05pt;mso-wrap-distance-top:0pt;mso-wrap-distance-bottom:0pt;margin-top:122.5pt;mso-position-vertical-relative:page;margin-left:288pt;mso-position-horizontal-relative:page">
                <v:fill opacity="0f"/>
                <v:textbox inset="0.000694444444444445in,0.000694444444444445in,0.000694444444444445in,0.000694444444444445in">
                  <w:txbxContent>
                    <w:p>
                      <w:pPr>
                        <w:pStyle w:val="Normal"/>
                        <w:rPr/>
                      </w:pPr>
                      <w:r>
                        <w:rPr/>
                        <w:object w:dxaOrig="2594" w:dyaOrig="569">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208.8pt;height:36.7pt" filled="f" o:ole="">
                            <v:imagedata r:id="rId6" o:title=""/>
                          </v:shape>
                          <o:OLEObject Type="Embed" ProgID="" ShapeID="ole_rId5" DrawAspect="Content" ObjectID="_1230468574" r:id="rId5"/>
                        </w:object>
                      </w:r>
                    </w:p>
                  </w:txbxContent>
                </v:textbox>
                <w10:wrap type="none"/>
              </v:rect>
            </w:pict>
          </mc:Fallback>
        </mc:AlternateContent>
      </w:r>
      <w:r>
        <mc:AlternateContent>
          <mc:Choice Requires="wps">
            <w:drawing>
              <wp:anchor behindDoc="1" distT="0" distB="0" distL="114935" distR="114935" simplePos="0" locked="0" layoutInCell="0" allowOverlap="1" relativeHeight="11">
                <wp:simplePos x="0" y="0"/>
                <wp:positionH relativeFrom="page">
                  <wp:posOffset>731520</wp:posOffset>
                </wp:positionH>
                <wp:positionV relativeFrom="page">
                  <wp:posOffset>1554480</wp:posOffset>
                </wp:positionV>
                <wp:extent cx="2699385" cy="413385"/>
                <wp:effectExtent l="0" t="0" r="0" b="0"/>
                <wp:wrapNone/>
                <wp:docPr id="6" name="Frame5"/>
                <a:graphic xmlns:a="http://schemas.openxmlformats.org/drawingml/2006/main">
                  <a:graphicData uri="http://schemas.microsoft.com/office/word/2010/wordprocessingShape">
                    <wps:wsp>
                      <wps:cNvSpPr txBox="1"/>
                      <wps:spPr>
                        <a:xfrm>
                          <a:off x="0" y="0"/>
                          <a:ext cx="2699385" cy="413385"/>
                        </a:xfrm>
                        <a:prstGeom prst="rect"/>
                        <a:solidFill>
                          <a:srgbClr val="FFFFFF">
                            <a:alpha val="0"/>
                          </a:srgbClr>
                        </a:solidFill>
                      </wps:spPr>
                      <wps:txbx>
                        <w:txbxContent>
                          <w:p>
                            <w:pPr>
                              <w:pStyle w:val="Normal"/>
                              <w:rPr/>
                            </w:pPr>
                            <w:r>
                              <w:rPr/>
                              <w:drawing>
                                <wp:inline distT="0" distB="0" distL="0" distR="0">
                                  <wp:extent cx="2708275" cy="41910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7"/>
                                          <a:srcRect l="-20" t="-94" r="-20" b="-94"/>
                                          <a:stretch>
                                            <a:fillRect/>
                                          </a:stretch>
                                        </pic:blipFill>
                                        <pic:spPr bwMode="auto">
                                          <a:xfrm>
                                            <a:off x="0" y="0"/>
                                            <a:ext cx="2708275" cy="41910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212.55pt;height:32.55pt;mso-wrap-distance-left:9.05pt;mso-wrap-distance-right:9.05pt;mso-wrap-distance-top:0pt;mso-wrap-distance-bottom:0pt;margin-top:122.4pt;mso-position-vertical-relative:page;margin-left:57.6pt;mso-position-horizontal-relative:page">
                <v:fill opacity="0f"/>
                <v:textbox inset="0.000694444444444445in,0.000694444444444445in,0.000694444444444445in,0.000694444444444445in">
                  <w:txbxContent>
                    <w:p>
                      <w:pPr>
                        <w:pStyle w:val="Normal"/>
                        <w:rPr/>
                      </w:pPr>
                      <w:r>
                        <w:rPr/>
                        <w:drawing>
                          <wp:inline distT="0" distB="0" distL="0" distR="0">
                            <wp:extent cx="2708275" cy="41910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8"/>
                                    <a:srcRect l="-20" t="-94" r="-20" b="-94"/>
                                    <a:stretch>
                                      <a:fillRect/>
                                    </a:stretch>
                                  </pic:blipFill>
                                  <pic:spPr bwMode="auto">
                                    <a:xfrm>
                                      <a:off x="0" y="0"/>
                                      <a:ext cx="2708275" cy="419100"/>
                                    </a:xfrm>
                                    <a:prstGeom prst="rect">
                                      <a:avLst/>
                                    </a:prstGeom>
                                    <a:noFill/>
                                  </pic:spPr>
                                </pic:pic>
                              </a:graphicData>
                            </a:graphic>
                          </wp:inline>
                        </w:drawing>
                      </w:r>
                    </w:p>
                  </w:txbxContent>
                </v:textbox>
                <w10:wrap type="none"/>
              </v:rect>
            </w:pict>
          </mc:Fallback>
        </mc:AlternateContent>
      </w:r>
    </w:p>
    <w:p>
      <w:pPr>
        <w:sectPr>
          <w:footerReference w:type="default" r:id="rId9"/>
          <w:type w:val="nextPage"/>
          <w:pgSz w:w="12240" w:h="15840"/>
          <w:pgMar w:left="1219" w:right="2722" w:gutter="0" w:header="0" w:top="680" w:footer="567" w:bottom="623"/>
          <w:pgNumType w:fmt="decimal"/>
          <w:formProt w:val="false"/>
          <w:textDirection w:val="lrTb"/>
          <w:docGrid w:type="default" w:linePitch="360" w:charSpace="0"/>
        </w:sectPr>
      </w:pPr>
    </w:p>
    <w:p>
      <w:pPr>
        <w:pStyle w:val="aaNBodyText"/>
        <w:spacing w:before="0" w:after="0"/>
        <w:jc w:val="both"/>
        <w:rPr/>
      </w:pPr>
      <w:r>
        <w:rPr/>
      </w:r>
      <w:r>
        <mc:AlternateContent>
          <mc:Choice Requires="wps">
            <w:drawing>
              <wp:anchor behindDoc="0" distT="0" distB="0" distL="0" distR="0" simplePos="0" locked="0" layoutInCell="0" allowOverlap="1" relativeHeight="6">
                <wp:simplePos x="0" y="0"/>
                <wp:positionH relativeFrom="page">
                  <wp:posOffset>1097915</wp:posOffset>
                </wp:positionH>
                <wp:positionV relativeFrom="page">
                  <wp:posOffset>1737995</wp:posOffset>
                </wp:positionV>
                <wp:extent cx="2185670" cy="272415"/>
                <wp:effectExtent l="0" t="0" r="0" b="0"/>
                <wp:wrapSquare wrapText="bothSides"/>
                <wp:docPr id="9" name="Frame6"/>
                <a:graphic xmlns:a="http://schemas.openxmlformats.org/drawingml/2006/main">
                  <a:graphicData uri="http://schemas.microsoft.com/office/word/2010/wordprocessingShape">
                    <wps:wsp>
                      <wps:cNvSpPr txBox="1"/>
                      <wps:spPr>
                        <a:xfrm>
                          <a:off x="0" y="0"/>
                          <a:ext cx="2185670" cy="272415"/>
                        </a:xfrm>
                        <a:prstGeom prst="rect"/>
                        <a:solidFill>
                          <a:srgbClr val="FFFFFF">
                            <a:alpha val="0"/>
                          </a:srgbClr>
                        </a:solidFill>
                      </wps:spPr>
                      <wps:txbx>
                        <w:txbxContent>
                          <w:p>
                            <w:pPr>
                              <w:pStyle w:val="aaFCCountrySector"/>
                              <w:rPr>
                                <w:b/>
                              </w:rPr>
                            </w:pPr>
                            <w:r>
                              <w:rPr>
                                <w:b/>
                              </w:rPr>
                              <w:t>Energy Desk</w:t>
                            </w:r>
                          </w:p>
                          <w:p>
                            <w:pPr>
                              <w:pStyle w:val="aaFCCountrySector"/>
                              <w:rPr>
                                <w:b/>
                              </w:rPr>
                            </w:pPr>
                            <w:r>
                              <w:rPr>
                                <w:b/>
                              </w:rPr>
                            </w:r>
                            <w:bookmarkStart w:id="21" w:name="Sector2"/>
                            <w:bookmarkStart w:id="22" w:name="Sector2"/>
                            <w:bookmarkEnd w:id="22"/>
                          </w:p>
                        </w:txbxContent>
                      </wps:txbx>
                      <wps:bodyPr anchor="t" lIns="0" tIns="0" rIns="0" bIns="0">
                        <a:noAutofit/>
                      </wps:bodyPr>
                    </wps:wsp>
                  </a:graphicData>
                </a:graphic>
              </wp:anchor>
            </w:drawing>
          </mc:Choice>
          <mc:Fallback>
            <w:pict>
              <v:rect fillcolor="#FFFFFF" style="position:absolute;rotation:-0;width:172.1pt;height:21.45pt;mso-wrap-distance-left:0pt;mso-wrap-distance-right:0pt;mso-wrap-distance-top:0pt;mso-wrap-distance-bottom:0pt;margin-top:136.85pt;mso-position-vertical-relative:page;margin-left:86.45pt;mso-position-horizontal-relative:page">
                <v:fill opacity="0f"/>
                <v:textbox inset="0in,0in,0in,0in">
                  <w:txbxContent>
                    <w:p>
                      <w:pPr>
                        <w:pStyle w:val="aaFCCountrySector"/>
                        <w:rPr>
                          <w:b/>
                        </w:rPr>
                      </w:pPr>
                      <w:r>
                        <w:rPr>
                          <w:b/>
                        </w:rPr>
                        <w:t>Energy Desk</w:t>
                      </w:r>
                    </w:p>
                    <w:p>
                      <w:pPr>
                        <w:pStyle w:val="aaFCCountrySector"/>
                        <w:rPr>
                          <w:b/>
                        </w:rPr>
                      </w:pPr>
                      <w:r>
                        <w:rPr>
                          <w:b/>
                        </w:rPr>
                      </w:r>
                      <w:bookmarkStart w:id="23" w:name="Sector2"/>
                      <w:bookmarkStart w:id="24" w:name="Sector2"/>
                      <w:bookmarkEnd w:id="24"/>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823595</wp:posOffset>
                </wp:positionH>
                <wp:positionV relativeFrom="page">
                  <wp:posOffset>2012315</wp:posOffset>
                </wp:positionV>
                <wp:extent cx="5264785" cy="182245"/>
                <wp:effectExtent l="0" t="0" r="0" b="0"/>
                <wp:wrapSquare wrapText="bothSides"/>
                <wp:docPr id="10" name="Frame7"/>
                <a:graphic xmlns:a="http://schemas.openxmlformats.org/drawingml/2006/main">
                  <a:graphicData uri="http://schemas.microsoft.com/office/word/2010/wordprocessingShape">
                    <wps:wsp>
                      <wps:cNvSpPr txBox="1"/>
                      <wps:spPr>
                        <a:xfrm>
                          <a:off x="0" y="0"/>
                          <a:ext cx="5264785" cy="182245"/>
                        </a:xfrm>
                        <a:prstGeom prst="rect"/>
                        <a:solidFill>
                          <a:srgbClr val="FFFFFF">
                            <a:alpha val="0"/>
                          </a:srgbClr>
                        </a:solidFill>
                      </wps:spPr>
                      <wps:txbx>
                        <w:txbxContent>
                          <w:p>
                            <w:pPr>
                              <w:pStyle w:val="Normal"/>
                              <w:spacing w:before="0" w:after="100"/>
                              <w:rPr/>
                            </w:pPr>
                            <w:r>
                              <w:rPr>
                                <w:rStyle w:val="aaFPemail"/>
                                <w:rFonts w:cs="AAFormataMedium" w:ascii="AAFormataMedium" w:hAnsi="AAFormataMedium"/>
                                <w:sz w:val="19"/>
                              </w:rPr>
                              <w:t xml:space="preserve">Tel. 1 212 859 1350 </w:t>
                            </w:r>
                          </w:p>
                          <w:p>
                            <w:pPr>
                              <w:pStyle w:val="Normal"/>
                              <w:spacing w:before="0" w:after="100"/>
                              <w:rPr>
                                <w:rStyle w:val="aaFPemail"/>
                                <w:rFonts w:ascii="AAFormataMedium" w:hAnsi="AAFormataMedium" w:cs="AAFormataMedium"/>
                                <w:sz w:val="19"/>
                              </w:rPr>
                            </w:pPr>
                            <w:r>
                              <w:rPr/>
                            </w:r>
                          </w:p>
                          <w:p>
                            <w:pPr>
                              <w:pStyle w:val="Normal"/>
                              <w:spacing w:before="0" w:after="100"/>
                              <w:rPr>
                                <w:rStyle w:val="aaFPemail"/>
                                <w:rFonts w:ascii="AAFormataMedium" w:hAnsi="AAFormataMedium" w:cs="AAFormataMedium"/>
                                <w:sz w:val="19"/>
                              </w:rPr>
                            </w:pPr>
                            <w:r>
                              <w:rPr/>
                            </w:r>
                          </w:p>
                        </w:txbxContent>
                      </wps:txbx>
                      <wps:bodyPr anchor="t" lIns="0" tIns="0" rIns="0" bIns="0">
                        <a:noAutofit/>
                      </wps:bodyPr>
                    </wps:wsp>
                  </a:graphicData>
                </a:graphic>
              </wp:anchor>
            </w:drawing>
          </mc:Choice>
          <mc:Fallback>
            <w:pict>
              <v:rect fillcolor="#FFFFFF" style="position:absolute;rotation:-0;width:414.55pt;height:14.35pt;mso-wrap-distance-left:0pt;mso-wrap-distance-right:0pt;mso-wrap-distance-top:0pt;mso-wrap-distance-bottom:0pt;margin-top:158.45pt;mso-position-vertical-relative:page;margin-left:64.85pt;mso-position-horizontal-relative:page">
                <v:fill opacity="0f"/>
                <v:textbox inset="0in,0in,0in,0in">
                  <w:txbxContent>
                    <w:p>
                      <w:pPr>
                        <w:pStyle w:val="Normal"/>
                        <w:spacing w:before="0" w:after="100"/>
                        <w:rPr/>
                      </w:pPr>
                      <w:r>
                        <w:rPr>
                          <w:rStyle w:val="aaFPemail"/>
                          <w:rFonts w:cs="AAFormataMedium" w:ascii="AAFormataMedium" w:hAnsi="AAFormataMedium"/>
                          <w:sz w:val="19"/>
                        </w:rPr>
                        <w:pict>
                          <v:line id="shape_0" from="64.8pt,180pt" to="492.85pt,180pt" stroked="t" o:allowincell="f" style="position:absolute;mso-position-horizontal-relative:page;mso-position-vertical-relative:page">
                            <v:stroke color="black" weight="6480" joinstyle="miter" endcap="flat"/>
                            <v:fill o:detectmouseclick="t" on="false"/>
                            <w10:wrap type="none"/>
                          </v:line>
                        </w:pict>
                        <w:t xml:space="preserve">Tel. 1 212 859 1350 </w:t>
                      </w:r>
                    </w:p>
                    <w:p>
                      <w:pPr>
                        <w:pStyle w:val="Normal"/>
                        <w:spacing w:before="0" w:after="100"/>
                        <w:rPr>
                          <w:rStyle w:val="aaFPemail"/>
                          <w:rFonts w:ascii="AAFormataMedium" w:hAnsi="AAFormataMedium" w:cs="AAFormataMedium"/>
                          <w:sz w:val="19"/>
                        </w:rPr>
                      </w:pPr>
                      <w:r>
                        <w:rPr/>
                      </w:r>
                    </w:p>
                    <w:p>
                      <w:pPr>
                        <w:pStyle w:val="Normal"/>
                        <w:spacing w:before="0" w:after="100"/>
                        <w:rPr>
                          <w:rStyle w:val="aaFPemail"/>
                          <w:rFonts w:ascii="AAFormataMedium" w:hAnsi="AAFormataMedium" w:cs="AAFormataMedium"/>
                          <w:sz w:val="19"/>
                        </w:rPr>
                      </w:pPr>
                      <w:r>
                        <w:rPr/>
                      </w:r>
                    </w:p>
                  </w:txbxContent>
                </v:textbox>
                <w10:wrap type="square"/>
              </v:rect>
            </w:pict>
          </mc:Fallback>
        </mc:AlternateContent>
      </w:r>
      <w:r>
        <mc:AlternateContent>
          <mc:Choice Requires="wps">
            <w:drawing>
              <wp:anchor behindDoc="0" distT="0" distB="0" distL="114935" distR="114935" simplePos="0" locked="0" layoutInCell="0" allowOverlap="1" relativeHeight="12">
                <wp:simplePos x="0" y="0"/>
                <wp:positionH relativeFrom="page">
                  <wp:posOffset>822960</wp:posOffset>
                </wp:positionH>
                <wp:positionV relativeFrom="page">
                  <wp:posOffset>2286000</wp:posOffset>
                </wp:positionV>
                <wp:extent cx="5436870" cy="635"/>
                <wp:effectExtent l="635" t="3175" r="635" b="3175"/>
                <wp:wrapNone/>
                <wp:docPr id="13" name=""/>
                <a:graphic xmlns:a="http://schemas.openxmlformats.org/drawingml/2006/main">
                  <a:graphicData uri="http://schemas.microsoft.com/office/word/2010/wordprocessingShape">
                    <wps:wsp>
                      <wps:cNvSpPr/>
                      <wps:spPr>
                        <a:xfrm>
                          <a:off x="0" y="0"/>
                          <a:ext cx="543672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4.8pt,180pt" to="492.85pt,180pt" stroked="t" o:allowincell="f" style="position:absolute;mso-position-horizontal-relative:page;mso-position-vertical-relative:page">
                <v:stroke color="black" weight="6480" joinstyle="miter" endcap="flat"/>
                <v:fill o:detectmouseclick="t" on="false"/>
                <w10:wrap type="none"/>
              </v:line>
            </w:pict>
          </mc:Fallback>
        </mc:AlternateContent>
      </w:r>
    </w:p>
    <w:p>
      <w:pPr>
        <w:pStyle w:val="aaNBodyText"/>
        <w:spacing w:before="0" w:after="0"/>
        <w:jc w:val="both"/>
        <w:rPr/>
      </w:pPr>
      <w:r>
        <w:rPr/>
      </w:r>
    </w:p>
    <w:p>
      <w:pPr>
        <w:pStyle w:val="aaNBodyText"/>
        <w:spacing w:before="0" w:after="0"/>
        <w:jc w:val="both"/>
        <w:rPr/>
      </w:pPr>
      <w:r>
        <w:rPr/>
      </w:r>
    </w:p>
    <w:p>
      <w:pPr>
        <w:pStyle w:val="aaNBodyText"/>
        <w:spacing w:before="0" w:after="0"/>
        <w:jc w:val="both"/>
        <w:rPr/>
      </w:pPr>
      <w:r>
        <w:rPr/>
      </w:r>
    </w:p>
    <w:p>
      <w:pPr>
        <w:pStyle w:val="aaNBodyText"/>
        <w:spacing w:before="0" w:after="0"/>
        <w:jc w:val="both"/>
        <w:rPr/>
      </w:pPr>
      <w:r>
        <w:rPr/>
      </w:r>
    </w:p>
    <w:p>
      <w:pPr>
        <w:pStyle w:val="Heading2"/>
        <w:numPr>
          <w:ilvl w:val="0"/>
          <w:numId w:val="0"/>
        </w:numPr>
        <w:tabs>
          <w:tab w:val="clear" w:pos="284"/>
          <w:tab w:val="left" w:pos="360" w:leader="none"/>
          <w:tab w:val="left" w:pos="3780" w:leader="none"/>
        </w:tabs>
        <w:ind w:hanging="0" w:start="0" w:end="1080"/>
        <w:rPr>
          <w:b w:val="false"/>
        </w:rPr>
      </w:pPr>
      <w:r>
        <w:rPr/>
        <w:t>Near Term (Basis September):</w:t>
        <w:tab/>
        <w:t>Neutral, looking higher</w:t>
      </w:r>
    </w:p>
    <w:p>
      <w:pPr>
        <w:pStyle w:val="Text"/>
        <w:tabs>
          <w:tab w:val="clear" w:pos="284"/>
          <w:tab w:val="left" w:pos="3780" w:leader="none"/>
        </w:tabs>
        <w:rPr>
          <w:b/>
          <w:sz w:val="22"/>
        </w:rPr>
      </w:pPr>
      <w:r>
        <w:rPr>
          <w:b/>
          <w:sz w:val="22"/>
        </w:rPr>
      </w:r>
    </w:p>
    <w:p>
      <w:pPr>
        <w:pStyle w:val="Text"/>
        <w:tabs>
          <w:tab w:val="clear" w:pos="284"/>
          <w:tab w:val="left" w:pos="3780" w:leader="none"/>
        </w:tabs>
        <w:rPr>
          <w:sz w:val="22"/>
        </w:rPr>
      </w:pPr>
      <w:r>
        <w:rPr>
          <w:sz w:val="22"/>
        </w:rPr>
        <w:t xml:space="preserve">Monday’s inside range bar on the daily chart looks to be a short-term consolidation effort on the part of the market prior to an important technical breakout. We continue to feel the double bottom chart pattern that will require a trade above 77.40 cents represents the bull’s best chance to make a statement on the chart. Bears will stay with the trend lower and view the recent strength as a sideways corrective action that is working off the prior oversold momentum condition. With the open interest figures showing a meaningful liquidation since last Wednesday when the board pushed up through the 18-day MA, it is a fair bet that the large specs are much closer to being small net-shorts to flat in spite of the COT data from Friday showing them to have added a small amount of shorts. This helps put the market in a neutral position where an extension up through the 40-day MA and 77.40 cent level creates a need to get long on the part of the ‘fund-types’. On the contrary, a pullback through the 18-day MA and a corresponding cross over in the daily stochastic for a fresh sell signal should be followed by more aggressive technical selling as the bears get their lost position back. We continue to ‘lean’ higher here. </w:t>
      </w:r>
    </w:p>
    <w:p>
      <w:pPr>
        <w:pStyle w:val="Text"/>
        <w:tabs>
          <w:tab w:val="clear" w:pos="284"/>
          <w:tab w:val="left" w:pos="3780" w:leader="none"/>
        </w:tabs>
        <w:rPr>
          <w:sz w:val="22"/>
        </w:rPr>
      </w:pPr>
      <w:r>
        <w:rPr>
          <w:sz w:val="22"/>
        </w:rPr>
      </w:r>
    </w:p>
    <w:p>
      <w:pPr>
        <w:pStyle w:val="Heading2"/>
        <w:tabs>
          <w:tab w:val="clear" w:pos="284"/>
          <w:tab w:val="left" w:pos="3780" w:leader="none"/>
        </w:tabs>
        <w:rPr/>
      </w:pPr>
      <w:r>
        <w:rPr/>
        <w:t>Long Term:</w:t>
        <w:tab/>
        <w:t>Bearish</w:t>
      </w:r>
    </w:p>
    <w:p>
      <w:pPr>
        <w:pStyle w:val="Text"/>
        <w:tabs>
          <w:tab w:val="clear" w:pos="284"/>
          <w:tab w:val="left" w:pos="3780" w:leader="none"/>
        </w:tabs>
        <w:rPr>
          <w:sz w:val="22"/>
        </w:rPr>
      </w:pPr>
      <w:r>
        <w:rPr>
          <w:sz w:val="22"/>
        </w:rPr>
        <w:t xml:space="preserve">Our long-term technical model remains bearish. Major resistance is at 77.00 and 85.10 cents, while support is at 65.40 and 58.30 cents. </w:t>
      </w:r>
    </w:p>
    <w:tbl>
      <w:tblPr>
        <w:tblW w:w="6840" w:type="dxa"/>
        <w:jc w:val="start"/>
        <w:tblInd w:w="0" w:type="dxa"/>
        <w:tblLayout w:type="fixed"/>
        <w:tblCellMar>
          <w:top w:w="0" w:type="dxa"/>
          <w:start w:w="0" w:type="dxa"/>
          <w:bottom w:w="0" w:type="dxa"/>
          <w:end w:w="0" w:type="dxa"/>
        </w:tblCellMar>
      </w:tblPr>
      <w:tblGrid>
        <w:gridCol w:w="1800"/>
        <w:gridCol w:w="5040"/>
      </w:tblGrid>
      <w:tr>
        <w:trPr>
          <w:trHeight w:val="720" w:hRule="atLeast"/>
          <w:cantSplit w:val="true"/>
        </w:trPr>
        <w:tc>
          <w:tcPr>
            <w:tcW w:w="6840" w:type="dxa"/>
            <w:gridSpan w:val="2"/>
            <w:tcBorders/>
          </w:tcPr>
          <w:p>
            <w:pPr>
              <w:pStyle w:val="Heading2line"/>
              <w:snapToGrid w:val="false"/>
              <w:rPr>
                <w:sz w:val="22"/>
              </w:rPr>
            </w:pPr>
            <w:r>
              <w:rPr>
                <w:sz w:val="22"/>
              </w:rPr>
            </w:r>
          </w:p>
          <w:p>
            <w:pPr>
              <w:pStyle w:val="Heading2Table"/>
              <w:spacing w:before="0" w:after="120"/>
              <w:rPr>
                <w:sz w:val="22"/>
              </w:rPr>
            </w:pPr>
            <w:r>
              <w:rPr>
                <w:sz w:val="22"/>
              </w:rPr>
              <w:t>Daily Numbers</w:t>
            </w:r>
          </w:p>
        </w:tc>
      </w:tr>
      <w:tr>
        <w:trPr>
          <w:cantSplit w:val="true"/>
        </w:trPr>
        <w:tc>
          <w:tcPr>
            <w:tcW w:w="1800" w:type="dxa"/>
            <w:tcBorders>
              <w:top w:val="single" w:sz="4" w:space="0" w:color="000000"/>
            </w:tcBorders>
          </w:tcPr>
          <w:p>
            <w:pPr>
              <w:pStyle w:val="Table-Left"/>
              <w:spacing w:before="120" w:after="20"/>
              <w:rPr>
                <w:b/>
                <w:sz w:val="22"/>
              </w:rPr>
            </w:pPr>
            <w:bookmarkStart w:id="25" w:name="FirstCell"/>
            <w:bookmarkEnd w:id="25"/>
            <w:r>
              <w:rPr>
                <w:b/>
                <w:sz w:val="22"/>
              </w:rPr>
              <w:t>Settlement:</w:t>
            </w:r>
          </w:p>
        </w:tc>
        <w:tc>
          <w:tcPr>
            <w:tcW w:w="5040" w:type="dxa"/>
            <w:tcBorders>
              <w:top w:val="single" w:sz="4" w:space="0" w:color="000000"/>
            </w:tcBorders>
          </w:tcPr>
          <w:p>
            <w:pPr>
              <w:pStyle w:val="Table-Right"/>
              <w:spacing w:before="120" w:after="20"/>
              <w:jc w:val="start"/>
              <w:rPr>
                <w:b/>
                <w:sz w:val="22"/>
              </w:rPr>
            </w:pPr>
            <w:r>
              <w:rPr>
                <w:b/>
                <w:sz w:val="22"/>
              </w:rPr>
              <w:t>74.81</w:t>
            </w:r>
          </w:p>
        </w:tc>
      </w:tr>
      <w:tr>
        <w:trPr>
          <w:cantSplit w:val="true"/>
        </w:trPr>
        <w:tc>
          <w:tcPr>
            <w:tcW w:w="1800" w:type="dxa"/>
            <w:tcBorders/>
          </w:tcPr>
          <w:p>
            <w:pPr>
              <w:pStyle w:val="Table-Left"/>
              <w:spacing w:before="120" w:after="20"/>
              <w:rPr>
                <w:b/>
                <w:sz w:val="22"/>
              </w:rPr>
            </w:pPr>
            <w:r>
              <w:rPr>
                <w:b/>
                <w:sz w:val="22"/>
              </w:rPr>
              <w:t>Change:</w:t>
            </w:r>
          </w:p>
        </w:tc>
        <w:tc>
          <w:tcPr>
            <w:tcW w:w="5040" w:type="dxa"/>
            <w:tcBorders/>
          </w:tcPr>
          <w:p>
            <w:pPr>
              <w:pStyle w:val="Table-Right"/>
              <w:spacing w:before="120" w:after="20"/>
              <w:jc w:val="start"/>
              <w:rPr>
                <w:b/>
                <w:sz w:val="22"/>
              </w:rPr>
            </w:pPr>
            <w:r>
              <w:rPr>
                <w:b/>
                <w:sz w:val="22"/>
              </w:rPr>
              <w:t>-.48</w:t>
            </w:r>
          </w:p>
        </w:tc>
      </w:tr>
      <w:tr>
        <w:trPr>
          <w:cantSplit w:val="true"/>
        </w:trPr>
        <w:tc>
          <w:tcPr>
            <w:tcW w:w="1800" w:type="dxa"/>
            <w:tcBorders/>
          </w:tcPr>
          <w:p>
            <w:pPr>
              <w:pStyle w:val="Table-Left"/>
              <w:spacing w:before="120" w:after="20"/>
              <w:rPr>
                <w:b/>
                <w:sz w:val="22"/>
              </w:rPr>
            </w:pPr>
            <w:r>
              <w:rPr>
                <w:b/>
                <w:sz w:val="22"/>
              </w:rPr>
              <w:t>9-Day Stoch:</w:t>
            </w:r>
          </w:p>
        </w:tc>
        <w:tc>
          <w:tcPr>
            <w:tcW w:w="5040" w:type="dxa"/>
            <w:tcBorders/>
          </w:tcPr>
          <w:p>
            <w:pPr>
              <w:pStyle w:val="Table-Right"/>
              <w:spacing w:before="120" w:after="20"/>
              <w:jc w:val="start"/>
              <w:rPr>
                <w:b/>
                <w:sz w:val="22"/>
              </w:rPr>
            </w:pPr>
            <w:r>
              <w:rPr>
                <w:b/>
                <w:sz w:val="22"/>
              </w:rPr>
              <w:t>K= 73.56  D= 61.65</w:t>
            </w:r>
          </w:p>
        </w:tc>
      </w:tr>
      <w:tr>
        <w:trPr>
          <w:cantSplit w:val="true"/>
        </w:trPr>
        <w:tc>
          <w:tcPr>
            <w:tcW w:w="1800" w:type="dxa"/>
            <w:tcBorders/>
          </w:tcPr>
          <w:p>
            <w:pPr>
              <w:pStyle w:val="Table-Left"/>
              <w:spacing w:before="120" w:after="20"/>
              <w:rPr>
                <w:b/>
                <w:sz w:val="22"/>
              </w:rPr>
            </w:pPr>
            <w:r>
              <w:rPr>
                <w:b/>
                <w:sz w:val="22"/>
              </w:rPr>
              <w:t>18-Day MA:</w:t>
            </w:r>
          </w:p>
        </w:tc>
        <w:tc>
          <w:tcPr>
            <w:tcW w:w="5040" w:type="dxa"/>
            <w:tcBorders/>
          </w:tcPr>
          <w:p>
            <w:pPr>
              <w:pStyle w:val="Table-Right"/>
              <w:spacing w:before="120" w:after="20"/>
              <w:jc w:val="start"/>
              <w:rPr>
                <w:b/>
                <w:sz w:val="22"/>
              </w:rPr>
            </w:pPr>
            <w:r>
              <w:rPr>
                <w:b/>
                <w:sz w:val="22"/>
              </w:rPr>
              <w:t>73.82</w:t>
            </w:r>
          </w:p>
        </w:tc>
      </w:tr>
      <w:tr>
        <w:trPr>
          <w:cantSplit w:val="true"/>
        </w:trPr>
        <w:tc>
          <w:tcPr>
            <w:tcW w:w="1800" w:type="dxa"/>
            <w:tcBorders/>
          </w:tcPr>
          <w:p>
            <w:pPr>
              <w:pStyle w:val="Table-Left"/>
              <w:spacing w:before="120" w:after="20"/>
              <w:rPr>
                <w:b/>
                <w:sz w:val="22"/>
              </w:rPr>
            </w:pPr>
            <w:r>
              <w:rPr>
                <w:b/>
                <w:sz w:val="22"/>
              </w:rPr>
              <w:t>40-Day MA:</w:t>
            </w:r>
          </w:p>
        </w:tc>
        <w:tc>
          <w:tcPr>
            <w:tcW w:w="5040" w:type="dxa"/>
            <w:tcBorders/>
          </w:tcPr>
          <w:p>
            <w:pPr>
              <w:pStyle w:val="Table-Right"/>
              <w:spacing w:before="120" w:after="20"/>
              <w:jc w:val="start"/>
              <w:rPr>
                <w:b/>
                <w:sz w:val="22"/>
              </w:rPr>
            </w:pPr>
            <w:r>
              <w:rPr>
                <w:b/>
                <w:sz w:val="22"/>
              </w:rPr>
              <w:t>61.65</w:t>
            </w:r>
          </w:p>
        </w:tc>
      </w:tr>
      <w:tr>
        <w:trPr>
          <w:cantSplit w:val="true"/>
        </w:trPr>
        <w:tc>
          <w:tcPr>
            <w:tcW w:w="1800" w:type="dxa"/>
            <w:tcBorders/>
          </w:tcPr>
          <w:p>
            <w:pPr>
              <w:pStyle w:val="Table-Left"/>
              <w:spacing w:before="120" w:after="20"/>
              <w:rPr/>
            </w:pPr>
            <w:r>
              <w:rPr>
                <w:b/>
                <w:sz w:val="22"/>
              </w:rPr>
              <w:t>Resistance 2</w:t>
            </w:r>
            <w:r>
              <w:rPr>
                <w:b/>
                <w:sz w:val="22"/>
                <w:vertAlign w:val="superscript"/>
              </w:rPr>
              <w:t>nd</w:t>
            </w:r>
            <w:r>
              <w:rPr>
                <w:b/>
                <w:sz w:val="22"/>
              </w:rPr>
              <w:t>:</w:t>
            </w:r>
          </w:p>
        </w:tc>
        <w:tc>
          <w:tcPr>
            <w:tcW w:w="5040" w:type="dxa"/>
            <w:tcBorders/>
          </w:tcPr>
          <w:p>
            <w:pPr>
              <w:pStyle w:val="Table-Right"/>
              <w:spacing w:before="120" w:after="20"/>
              <w:jc w:val="start"/>
              <w:rPr>
                <w:b/>
                <w:sz w:val="22"/>
              </w:rPr>
            </w:pPr>
            <w:r>
              <w:rPr>
                <w:b/>
                <w:sz w:val="22"/>
              </w:rPr>
              <w:t>76.25</w:t>
            </w:r>
          </w:p>
        </w:tc>
      </w:tr>
      <w:tr>
        <w:trPr>
          <w:cantSplit w:val="true"/>
        </w:trPr>
        <w:tc>
          <w:tcPr>
            <w:tcW w:w="1800" w:type="dxa"/>
            <w:tcBorders/>
          </w:tcPr>
          <w:p>
            <w:pPr>
              <w:pStyle w:val="Table-Left"/>
              <w:spacing w:before="120" w:after="20"/>
              <w:rPr/>
            </w:pPr>
            <w:r>
              <w:rPr>
                <w:b/>
                <w:sz w:val="22"/>
              </w:rPr>
              <w:t>Resistance 1</w:t>
            </w:r>
            <w:r>
              <w:rPr>
                <w:b/>
                <w:sz w:val="22"/>
                <w:vertAlign w:val="superscript"/>
              </w:rPr>
              <w:t>st</w:t>
            </w:r>
            <w:r>
              <w:rPr>
                <w:b/>
                <w:sz w:val="22"/>
              </w:rPr>
              <w:t>:</w:t>
            </w:r>
          </w:p>
        </w:tc>
        <w:tc>
          <w:tcPr>
            <w:tcW w:w="5040" w:type="dxa"/>
            <w:tcBorders/>
          </w:tcPr>
          <w:p>
            <w:pPr>
              <w:pStyle w:val="Table-Right"/>
              <w:spacing w:before="120" w:after="20"/>
              <w:jc w:val="start"/>
              <w:rPr>
                <w:b/>
                <w:sz w:val="22"/>
              </w:rPr>
            </w:pPr>
            <w:r>
              <w:rPr>
                <w:b/>
                <w:sz w:val="22"/>
              </w:rPr>
              <w:t>75.95</w:t>
            </w:r>
          </w:p>
        </w:tc>
      </w:tr>
      <w:tr>
        <w:trPr>
          <w:cantSplit w:val="true"/>
        </w:trPr>
        <w:tc>
          <w:tcPr>
            <w:tcW w:w="1800" w:type="dxa"/>
            <w:tcBorders/>
          </w:tcPr>
          <w:p>
            <w:pPr>
              <w:pStyle w:val="Table-Left"/>
              <w:spacing w:before="120" w:after="20"/>
              <w:rPr/>
            </w:pPr>
            <w:r>
              <w:rPr>
                <w:b/>
                <w:sz w:val="22"/>
              </w:rPr>
              <w:t>Support 1</w:t>
            </w:r>
            <w:r>
              <w:rPr>
                <w:b/>
                <w:sz w:val="22"/>
                <w:vertAlign w:val="superscript"/>
              </w:rPr>
              <w:t>st</w:t>
            </w:r>
            <w:r>
              <w:rPr>
                <w:b/>
                <w:sz w:val="22"/>
              </w:rPr>
              <w:t>:</w:t>
            </w:r>
          </w:p>
        </w:tc>
        <w:tc>
          <w:tcPr>
            <w:tcW w:w="5040" w:type="dxa"/>
            <w:tcBorders/>
          </w:tcPr>
          <w:p>
            <w:pPr>
              <w:pStyle w:val="Table-Right"/>
              <w:spacing w:before="120" w:after="20"/>
              <w:jc w:val="start"/>
              <w:rPr>
                <w:b/>
                <w:sz w:val="22"/>
              </w:rPr>
            </w:pPr>
            <w:r>
              <w:rPr>
                <w:b/>
                <w:sz w:val="22"/>
              </w:rPr>
              <w:t>74.30</w:t>
            </w:r>
          </w:p>
        </w:tc>
      </w:tr>
      <w:tr>
        <w:trPr>
          <w:cantSplit w:val="true"/>
        </w:trPr>
        <w:tc>
          <w:tcPr>
            <w:tcW w:w="1800" w:type="dxa"/>
            <w:tcBorders>
              <w:bottom w:val="single" w:sz="4" w:space="0" w:color="000000"/>
            </w:tcBorders>
          </w:tcPr>
          <w:p>
            <w:pPr>
              <w:pStyle w:val="Table-Left"/>
              <w:spacing w:before="120" w:after="20"/>
              <w:rPr/>
            </w:pPr>
            <w:r>
              <w:rPr>
                <w:b/>
                <w:sz w:val="22"/>
              </w:rPr>
              <w:t>Support 2</w:t>
            </w:r>
            <w:r>
              <w:rPr>
                <w:b/>
                <w:sz w:val="22"/>
                <w:vertAlign w:val="superscript"/>
              </w:rPr>
              <w:t>nd</w:t>
            </w:r>
            <w:r>
              <w:rPr>
                <w:b/>
                <w:sz w:val="22"/>
              </w:rPr>
              <w:t>:</w:t>
            </w:r>
          </w:p>
        </w:tc>
        <w:tc>
          <w:tcPr>
            <w:tcW w:w="5040" w:type="dxa"/>
            <w:tcBorders>
              <w:bottom w:val="single" w:sz="4" w:space="0" w:color="000000"/>
            </w:tcBorders>
          </w:tcPr>
          <w:p>
            <w:pPr>
              <w:pStyle w:val="Table-Right"/>
              <w:spacing w:before="120" w:after="20"/>
              <w:jc w:val="start"/>
              <w:rPr>
                <w:b/>
                <w:sz w:val="22"/>
              </w:rPr>
            </w:pPr>
            <w:r>
              <w:rPr>
                <w:b/>
                <w:sz w:val="22"/>
              </w:rPr>
              <w:t>73.20</w:t>
            </w:r>
          </w:p>
        </w:tc>
      </w:tr>
    </w:tbl>
    <w:p>
      <w:pPr>
        <w:pStyle w:val="Text"/>
        <w:rPr/>
      </w:pPr>
      <w:r>
        <w:rPr/>
      </w:r>
    </w:p>
    <w:p>
      <w:pPr>
        <w:pStyle w:val="Text"/>
        <w:rPr>
          <w:rFonts w:ascii="Arial Narrow" w:hAnsi="Arial Narrow" w:cs="Arial Narrow"/>
          <w:b/>
          <w:sz w:val="22"/>
        </w:rPr>
      </w:pPr>
      <w:r>
        <w:rPr>
          <w:rFonts w:cs="Arial Narrow" w:ascii="Arial Narrow" w:hAnsi="Arial Narrow"/>
          <w:b/>
          <w:sz w:val="22"/>
        </w:rPr>
        <w:t>Commitments of Traders Data (futures only) as of July 24, 2001</w:t>
      </w:r>
    </w:p>
    <w:tbl>
      <w:tblPr>
        <w:tblW w:w="7056" w:type="dxa"/>
        <w:jc w:val="start"/>
        <w:tblInd w:w="0" w:type="dxa"/>
        <w:tblLayout w:type="fixed"/>
        <w:tblCellMar>
          <w:top w:w="0" w:type="dxa"/>
          <w:start w:w="108" w:type="dxa"/>
          <w:bottom w:w="0" w:type="dxa"/>
          <w:end w:w="108" w:type="dxa"/>
        </w:tblCellMar>
      </w:tblPr>
      <w:tblGrid>
        <w:gridCol w:w="1764"/>
        <w:gridCol w:w="1764"/>
        <w:gridCol w:w="1764"/>
        <w:gridCol w:w="1764"/>
      </w:tblGrid>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Trader Group</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Long</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Short</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Net</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Large Spec</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2,911</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10,907</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-7,996</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Commercial</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87,678</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75,723</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11,955</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Small Trader</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9,676</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13,635</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-3,959</w:t>
            </w:r>
          </w:p>
        </w:tc>
      </w:tr>
    </w:tbl>
    <w:p>
      <w:pPr>
        <w:pStyle w:val="Normal"/>
        <w:rPr/>
      </w:pPr>
      <w:r>
        <w:rPr/>
      </w:r>
    </w:p>
    <w:p>
      <w:pPr>
        <w:pStyle w:val="Normal"/>
        <w:rPr/>
      </w:pPr>
      <w:r>
        <w:rPr/>
        <w:drawing>
          <wp:inline distT="0" distB="0" distL="0" distR="0">
            <wp:extent cx="5480685" cy="3662045"/>
            <wp:effectExtent l="0" t="0" r="0" b="0"/>
            <wp:docPr id="1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title=""/>
                    <pic:cNvPicPr>
                      <a:picLocks noChangeAspect="1" noChangeArrowheads="1"/>
                    </pic:cNvPicPr>
                  </pic:nvPicPr>
                  <pic:blipFill>
                    <a:blip r:embed="rId10"/>
                    <a:srcRect l="-6" t="-8" r="-6" b="-8"/>
                    <a:stretch>
                      <a:fillRect/>
                    </a:stretch>
                  </pic:blipFill>
                  <pic:spPr bwMode="auto">
                    <a:xfrm>
                      <a:off x="0" y="0"/>
                      <a:ext cx="5480685" cy="3662045"/>
                    </a:xfrm>
                    <a:prstGeom prst="rect">
                      <a:avLst/>
                    </a:prstGeom>
                    <a:noFill/>
                  </pic:spPr>
                </pic:pic>
              </a:graphicData>
            </a:graphic>
          </wp:inline>
        </w:drawing>
      </w:r>
    </w:p>
    <w:p>
      <w:pPr>
        <w:pStyle w:val="Normal"/>
        <w:rPr/>
      </w:pPr>
      <w:r>
        <w:rPr/>
      </w:r>
    </w:p>
    <w:p>
      <w:pPr>
        <w:pStyle w:val="Normal"/>
        <w:rPr/>
      </w:pPr>
      <w:r>
        <w:rPr/>
        <w:drawing>
          <wp:inline distT="0" distB="0" distL="0" distR="0">
            <wp:extent cx="5480685" cy="3662045"/>
            <wp:effectExtent l="0" t="0" r="0" b="0"/>
            <wp:docPr id="1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descr="" title=""/>
                    <pic:cNvPicPr>
                      <a:picLocks noChangeAspect="1" noChangeArrowheads="1"/>
                    </pic:cNvPicPr>
                  </pic:nvPicPr>
                  <pic:blipFill>
                    <a:blip r:embed="rId11"/>
                    <a:srcRect l="-6" t="-8" r="-6" b="-8"/>
                    <a:stretch>
                      <a:fillRect/>
                    </a:stretch>
                  </pic:blipFill>
                  <pic:spPr bwMode="auto">
                    <a:xfrm>
                      <a:off x="0" y="0"/>
                      <a:ext cx="5480685" cy="3662045"/>
                    </a:xfrm>
                    <a:prstGeom prst="rect">
                      <a:avLst/>
                    </a:prstGeom>
                    <a:noFill/>
                  </pic:spPr>
                </pic:pic>
              </a:graphicData>
            </a:graphic>
          </wp:inline>
        </w:drawing>
      </w:r>
    </w:p>
    <w:p>
      <w:pPr>
        <w:pStyle w:val="Normal"/>
        <w:rPr>
          <w:sz w:val="16"/>
        </w:rPr>
      </w:pPr>
      <w:r>
        <w:rPr>
          <w:sz w:val="16"/>
        </w:rPr>
        <w:t>Charts courtesy of CQG, Inc.</w:t>
      </w:r>
    </w:p>
    <w:p>
      <w:pPr>
        <w:pStyle w:val="Normal"/>
        <w:rPr/>
      </w:pPr>
      <w:r>
        <w:rPr/>
      </w:r>
    </w:p>
    <w:sectPr>
      <w:type w:val="continuous"/>
      <w:pgSz w:w="12240" w:h="15840"/>
      <w:pgMar w:left="1219" w:right="1191" w:gutter="0" w:header="0" w:top="680" w:footer="567" w:bottom="62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AFormataMedium">
    <w:charset w:val="00" w:characterSet="windows-1252"/>
    <w:family w:val="auto"/>
    <w:pitch w:val="variable"/>
  </w:font>
  <w:font w:name="AAFormataRegular">
    <w:charset w:val="00" w:characterSet="windows-125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 w:name="AAFormataLight">
    <w:charset w:val="00" w:characterSet="windows-1252"/>
    <w:family w:val="auto"/>
    <w:pitch w:val="variable"/>
  </w:font>
  <w:font w:name="AAUtopia">
    <w:charset w:val="00" w:characterSet="windows-1252"/>
    <w:family w:val="auto"/>
    <w:pitch w:val="variable"/>
  </w:font>
  <w:font w:name="AAFormataBold">
    <w:charset w:val="00" w:characterSet="windows-1252"/>
    <w:family w:val="auto"/>
    <w:pitch w:val="variable"/>
  </w:font>
  <w:font w:name="Formata Regular">
    <w:charset w:val="00" w:characterSet="windows-1252"/>
    <w:family w:val="swiss"/>
    <w:pitch w:val="default"/>
  </w:font>
  <w:font w:name="AAFormataMediumCondensedItalic">
    <w:charset w:val="00" w:characterSet="windows-1252"/>
    <w:family w:val="auto"/>
    <w:pitch w:val="variable"/>
  </w:font>
  <w:font w:name="ZAPFDINGBATS">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2"/>
      <w:ind w:end="-1509"/>
      <w:rPr/>
    </w:pPr>
    <w:r>
      <w:rPr>
        <w:rFonts w:cs="Arial" w:ascii="Arial" w:hAnsi="Arial"/>
        <w:sz w:val="10"/>
      </w:rPr>
      <w:t xml:space="preserve">This publication is intended for informational purposes only and the opinions set forth herein should not be viewed as an offer or solicitation to buy, sell or otherwise trade futures and/or options. All opinions and information contained in this document constitute ABN AMRO Incorporated’s (“AAI”) judgment as of the date of this document and are subject to change without notice.  AAI, persons connected with it, members of the ABN AMRO group of companies (“Group Companies”) and their respective directors and employees may, directly or indirectly, effect or have effected a transaction for their own account in the investments referred to in the material contained herein before or after the material is published to any customer of a Group Company or may give advice to customers which may differ from or be inconsistent with the information and opinions contained herein. While the information contained herein was obtained from sources believed to be reliable, no Group Company accepts any liability whatsoever for any direct, indirect or consequential loss arising from any inaccuracy herein or from any use of this document or its contents. This document may not be reproduced, distributed or published in electronic, paper or other form for any purpose without the prior written consent of AAI. This report has been prepared without regard to the specific investment objectives, financial situation and needs of any particular recipient.   AAI is not a bank.  Securities sold, offered or recommended by AAI and deposits made with AAI, are not insured by the Federal Deposit Insurance Corporation, are not guaranteed by or an obligation or responsibility of ABN AMRO Bank N.V., or any other affiliated bank or thrift institution and involve investment risks, including the possible loss in excess of principal.  Past performance is not necessarily indicative of future results.   The risk of loss associated with futures and options trading can be substantial. For the customers of ABN AMRO Futures Limited this report is produced exclusively for our business and expert clients, it is not for general distribution and our services are not available to private clients. This research has been approved for issue in the UK by ABN AMRO Futures Limited, </w:t>
    </w:r>
    <w:r>
      <w:rPr>
        <w:rFonts w:cs="Arial" w:ascii="Arial" w:hAnsi="Arial"/>
        <w:sz w:val="10"/>
        <w:u w:val="single"/>
      </w:rPr>
      <w:t xml:space="preserve">regulated by the SFA. </w:t>
    </w:r>
    <w:r>
      <w:rPr>
        <w:rFonts w:cs="Arial" w:ascii="Arial" w:hAnsi="Arial"/>
        <w:sz w:val="10"/>
      </w:rPr>
      <w:t>In some or all respects, the regulatory regime applying in the United States, including any compensation arrangements, will be different from that of the United Kingdom. Outside of the United States, this document is intended solely for distribution to professional investors.  Further information may be obtained upon request.  For this purpose, persons outside the United States should contact the ABN AMRO Group Company located in or nearest to the country in which they reside.</w:t>
    </w:r>
  </w:p>
  <w:p>
    <w:pPr>
      <w:pStyle w:val="FootnoteText"/>
      <w:ind w:end="-1509"/>
      <w:jc w:val="both"/>
      <w:rPr>
        <w:rFonts w:ascii="AAFormataRegular" w:hAnsi="AAFormataRegular" w:cs="AAFormataRegular"/>
        <w:sz w:val="10"/>
      </w:rPr>
    </w:pPr>
    <w:r>
      <w:rPr>
        <w:rFonts w:cs="AAFormataRegular" w:ascii="AAFormataRegular" w:hAnsi="AAFormataRegular"/>
        <w:sz w:val="10"/>
      </w:rPr>
    </w:r>
  </w:p>
  <w:p>
    <w:pPr>
      <w:pStyle w:val="Footer"/>
      <w:tabs>
        <w:tab w:val="clear" w:pos="4153"/>
        <w:tab w:val="center" w:pos="4962" w:leader="none"/>
        <w:tab w:val="right" w:pos="8306" w:leader="none"/>
      </w:tabs>
      <w:rPr>
        <w:rFonts w:ascii="AAFormataRegular" w:hAnsi="AAFormataRegular" w:cs="AAFormataRegular"/>
      </w:rPr>
    </w:pPr>
    <w:r>
      <w:rPr>
        <w:rFonts w:cs="AAFormataRegular" w:ascii="AAFormataRegular" w:hAnsi="AAFormataRegular"/>
      </w:rPr>
      <w:tab/>
      <w:t>Energy Market Commentary</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70"/>
        </w:tabs>
        <w:ind w:start="170" w:hanging="170"/>
      </w:pPr>
      <w:rPr>
        <w:rFonts w:ascii="ZAPFDINGBATS" w:hAnsi="ZAPFDINGBATS" w:cs="ZAPFDINGBAT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70"/>
        </w:tabs>
        <w:ind w:start="170" w:hanging="170"/>
      </w:pPr>
      <w:rPr>
        <w:rFonts w:ascii="ZAPFDINGBATS" w:hAnsi="ZAPFDINGBATS" w:cs="ZAPFDINGBAT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70"/>
        </w:tabs>
        <w:ind w:start="170" w:hanging="17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284"/>
  <w:autoHyphenation w:val="true"/>
  <w:hyphenationZone w:val="0"/>
  <w:compat>
    <w:usePrinterMetrics/>
    <w:doNotBreakWrappedTables/>
    <w:compatSetting w:name="compatibilityMode" w:uri="http://schemas.microsoft.com/office/word" w:val="11"/>
  </w:compat>
  <w:docVars>
    <w:docVar w:name="ScrapPageSwitch" w:val="O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Text"/>
    <w:qFormat/>
    <w:pPr>
      <w:keepNext w:val="true"/>
      <w:keepLines/>
      <w:widowControl w:val="false"/>
      <w:numPr>
        <w:ilvl w:val="1"/>
        <w:numId w:val="1"/>
      </w:numPr>
      <w:pBdr>
        <w:top w:val="single" w:sz="12" w:space="0" w:color="008000"/>
      </w:pBdr>
      <w:suppressAutoHyphens w:val="true"/>
      <w:spacing w:before="0" w:after="120"/>
      <w:ind w:hanging="0" w:start="0" w:end="1152"/>
      <w:outlineLvl w:val="1"/>
    </w:pPr>
    <w:rPr>
      <w:rFonts w:ascii="Arial" w:hAnsi="Arial" w:cs="Arial"/>
      <w:b/>
      <w:sz w:val="22"/>
      <w:lang w:val="en-U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Text"/>
    <w:qFormat/>
    <w:pPr>
      <w:keepNext w:val="true"/>
      <w:keepLines/>
      <w:widowControl w:val="false"/>
      <w:numPr>
        <w:ilvl w:val="3"/>
        <w:numId w:val="1"/>
      </w:numPr>
      <w:spacing w:before="0" w:after="60"/>
      <w:outlineLvl w:val="3"/>
    </w:pPr>
    <w:rPr>
      <w:b/>
      <w:i/>
      <w:sz w:val="21"/>
      <w:lang w:val="en-US"/>
    </w:rPr>
  </w:style>
  <w:style w:type="paragraph" w:styleId="Heading5">
    <w:name w:val="heading 5"/>
    <w:basedOn w:val="Normal"/>
    <w:next w:val="Text"/>
    <w:qFormat/>
    <w:pPr>
      <w:keepNext w:val="true"/>
      <w:keepLines/>
      <w:widowControl w:val="false"/>
      <w:numPr>
        <w:ilvl w:val="4"/>
        <w:numId w:val="1"/>
      </w:numPr>
      <w:spacing w:before="0" w:after="40"/>
      <w:outlineLvl w:val="4"/>
    </w:pPr>
    <w:rPr>
      <w:i/>
      <w:lang w:val="en-US"/>
    </w:rPr>
  </w:style>
  <w:style w:type="paragraph" w:styleId="Heading6">
    <w:name w:val="heading 6"/>
    <w:basedOn w:val="Normal"/>
    <w:next w:val="Text"/>
    <w:qFormat/>
    <w:pPr>
      <w:keepNext w:val="true"/>
      <w:keepLines/>
      <w:widowControl w:val="false"/>
      <w:numPr>
        <w:ilvl w:val="5"/>
        <w:numId w:val="1"/>
      </w:numPr>
      <w:spacing w:before="0" w:after="40"/>
      <w:outlineLvl w:val="5"/>
    </w:pPr>
    <w:rPr>
      <w:i/>
      <w:lang w:val="en-US"/>
    </w:rPr>
  </w:style>
  <w:style w:type="paragraph" w:styleId="Heading7">
    <w:name w:val="heading 7"/>
    <w:basedOn w:val="Normal"/>
    <w:next w:val="Text"/>
    <w:qFormat/>
    <w:pPr>
      <w:keepNext w:val="true"/>
      <w:keepLines/>
      <w:widowControl w:val="false"/>
      <w:numPr>
        <w:ilvl w:val="6"/>
        <w:numId w:val="1"/>
      </w:numPr>
      <w:spacing w:before="0" w:after="40"/>
      <w:outlineLvl w:val="6"/>
    </w:pPr>
    <w:rPr>
      <w:i/>
      <w:lang w:val="en-US"/>
    </w:rPr>
  </w:style>
  <w:style w:type="paragraph" w:styleId="Heading8">
    <w:name w:val="heading 8"/>
    <w:basedOn w:val="Normal"/>
    <w:next w:val="Text"/>
    <w:qFormat/>
    <w:pPr>
      <w:keepNext w:val="true"/>
      <w:keepLines/>
      <w:widowControl w:val="false"/>
      <w:numPr>
        <w:ilvl w:val="7"/>
        <w:numId w:val="1"/>
      </w:numPr>
      <w:spacing w:before="0" w:after="40"/>
      <w:outlineLvl w:val="7"/>
    </w:pPr>
    <w:rPr>
      <w:i/>
      <w:lang w:val="en-US"/>
    </w:rPr>
  </w:style>
  <w:style w:type="paragraph" w:styleId="Heading9">
    <w:name w:val="heading 9"/>
    <w:basedOn w:val="Normal"/>
    <w:next w:val="Text"/>
    <w:qFormat/>
    <w:pPr>
      <w:keepNext w:val="true"/>
      <w:keepLines/>
      <w:widowControl w:val="false"/>
      <w:numPr>
        <w:ilvl w:val="8"/>
        <w:numId w:val="1"/>
      </w:numPr>
      <w:spacing w:before="0" w:after="40"/>
      <w:outlineLvl w:val="8"/>
    </w:pPr>
    <w:rPr>
      <w:i/>
      <w:lang w:val="en-US"/>
    </w:rPr>
  </w:style>
  <w:style w:type="character" w:styleId="WW8Num1z0">
    <w:name w:val="WW8Num1z0"/>
    <w:qFormat/>
    <w:rPr>
      <w:rFonts w:ascii="Times New Roman" w:hAnsi="Times New Roman" w:cs="Times New Roman"/>
    </w:rPr>
  </w:style>
  <w:style w:type="character" w:styleId="WW8Num1z2">
    <w:name w:val="WW8Num1z2"/>
    <w:qFormat/>
    <w:rPr>
      <w:rFonts w:ascii="Wingdings" w:hAnsi="Wingdings" w:cs="Wingdings"/>
      <w:color w:val="008000"/>
      <w:sz w:val="20"/>
    </w:rPr>
  </w:style>
  <w:style w:type="character" w:styleId="DefaultParagraphFont">
    <w:name w:val="Default Paragraph Font"/>
    <w:qFormat/>
    <w:rPr/>
  </w:style>
  <w:style w:type="character" w:styleId="abnFooter">
    <w:name w:val="abnFooter"/>
    <w:basedOn w:val="DefaultParagraphFont"/>
    <w:qFormat/>
    <w:rPr>
      <w:spacing w:val="70"/>
      <w:sz w:val="18"/>
    </w:rPr>
  </w:style>
  <w:style w:type="character" w:styleId="PageNumber">
    <w:name w:val="page number"/>
    <w:basedOn w:val="DefaultParagraphFont"/>
    <w:rPr/>
  </w:style>
  <w:style w:type="character" w:styleId="aaFPAuthor">
    <w:name w:val="aaFP Author"/>
    <w:basedOn w:val="DefaultParagraphFont"/>
    <w:qFormat/>
    <w:rPr>
      <w:rFonts w:ascii="AAFormataMedium" w:hAnsi="AAFormataMedium" w:cs="AAFormataMedium"/>
      <w:sz w:val="17"/>
    </w:rPr>
  </w:style>
  <w:style w:type="character" w:styleId="aaFPPhone">
    <w:name w:val="aaFP Phone"/>
    <w:basedOn w:val="DefaultParagraphFont"/>
    <w:qFormat/>
    <w:rPr>
      <w:rFonts w:ascii="AAFormataRegular" w:hAnsi="AAFormataRegular" w:cs="AAFormataRegular"/>
      <w:sz w:val="17"/>
    </w:rPr>
  </w:style>
  <w:style w:type="character" w:styleId="aaFPemail">
    <w:name w:val="aaFP email"/>
    <w:basedOn w:val="DefaultParagraphFont"/>
    <w:qFormat/>
    <w:rPr>
      <w:rFonts w:ascii="AAFormataRegular" w:hAnsi="AAFormataRegular" w:cs="AAFormataRegular"/>
      <w:sz w:val="14"/>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284"/>
        <w:tab w:val="center" w:pos="4986" w:leader="none"/>
        <w:tab w:val="right" w:pos="9972" w:leader="none"/>
      </w:tabs>
    </w:pPr>
    <w:rPr/>
  </w:style>
  <w:style w:type="paragraph" w:styleId="Header">
    <w:name w:val="header"/>
    <w:basedOn w:val="Normal"/>
    <w:pPr>
      <w:tabs>
        <w:tab w:val="clear" w:pos="284"/>
        <w:tab w:val="center" w:pos="4153" w:leader="none"/>
        <w:tab w:val="right" w:pos="8306" w:leader="none"/>
      </w:tabs>
    </w:pPr>
    <w:rPr/>
  </w:style>
  <w:style w:type="paragraph" w:styleId="abnHLevel2Heading">
    <w:name w:val="abnH Level 2 Heading"/>
    <w:basedOn w:val="Normal"/>
    <w:qFormat/>
    <w:pPr/>
    <w:rPr>
      <w:rFonts w:ascii="Arial Narrow" w:hAnsi="Arial Narrow" w:cs="Arial Narrow"/>
      <w:b/>
      <w:kern w:val="2"/>
      <w:sz w:val="26"/>
    </w:rPr>
  </w:style>
  <w:style w:type="paragraph" w:styleId="abnNBodyText">
    <w:name w:val="abnN Body Text"/>
    <w:qFormat/>
    <w:pPr>
      <w:widowControl/>
      <w:bidi w:val="0"/>
      <w:spacing w:lineRule="exact" w:line="280" w:before="0" w:after="280"/>
      <w:jc w:val="both"/>
    </w:pPr>
    <w:rPr>
      <w:rFonts w:ascii="Times New Roman" w:hAnsi="Times New Roman" w:eastAsia="Times New Roman" w:cs="Times New Roman"/>
      <w:color w:val="auto"/>
      <w:sz w:val="22"/>
      <w:szCs w:val="20"/>
      <w:lang w:val="en-US" w:eastAsia="en-CA" w:bidi="ar-SA"/>
    </w:rPr>
  </w:style>
  <w:style w:type="paragraph" w:styleId="abnSSideComment">
    <w:name w:val="abnS Side Comment"/>
    <w:basedOn w:val="Heading3"/>
    <w:qFormat/>
    <w:pPr>
      <w:numPr>
        <w:ilvl w:val="0"/>
        <w:numId w:val="0"/>
      </w:numPr>
      <w:spacing w:lineRule="exact" w:line="260" w:before="0" w:after="0"/>
      <w:jc w:val="end"/>
      <w:outlineLvl w:val="9"/>
    </w:pPr>
    <w:rPr>
      <w:rFonts w:ascii="Times New Roman" w:hAnsi="Times New Roman" w:cs="Times New Roman"/>
      <w:b/>
      <w:i/>
      <w:sz w:val="19"/>
    </w:rPr>
  </w:style>
  <w:style w:type="paragraph" w:styleId="abnChart">
    <w:name w:val="abnChart"/>
    <w:basedOn w:val="abnNBodyText"/>
    <w:qFormat/>
    <w:pPr>
      <w:spacing w:lineRule="exact" w:line="800"/>
    </w:pPr>
    <w:rPr/>
  </w:style>
  <w:style w:type="paragraph" w:styleId="Footer">
    <w:name w:val="footer"/>
    <w:basedOn w:val="Normal"/>
    <w:pPr>
      <w:tabs>
        <w:tab w:val="clear" w:pos="284"/>
        <w:tab w:val="center" w:pos="4153" w:leader="none"/>
        <w:tab w:val="right" w:pos="8306" w:leader="none"/>
      </w:tabs>
    </w:pPr>
    <w:rPr/>
  </w:style>
  <w:style w:type="paragraph" w:styleId="abnParagraphDivider">
    <w:name w:val="abnParagraphDivider"/>
    <w:basedOn w:val="abnHLevel2Heading"/>
    <w:qFormat/>
    <w:pPr>
      <w:spacing w:lineRule="exact" w:line="560"/>
    </w:pPr>
    <w:rPr/>
  </w:style>
  <w:style w:type="paragraph" w:styleId="abnHLevel1Heading">
    <w:name w:val="abnH Level 1 Heading"/>
    <w:basedOn w:val="Normal"/>
    <w:qFormat/>
    <w:pPr>
      <w:spacing w:before="0" w:after="160"/>
    </w:pPr>
    <w:rPr>
      <w:rFonts w:ascii="Arial Narrow" w:hAnsi="Arial Narrow" w:cs="Arial Narrow"/>
      <w:b/>
      <w:sz w:val="44"/>
    </w:rPr>
  </w:style>
  <w:style w:type="paragraph" w:styleId="abnBulets">
    <w:name w:val="abnBulets"/>
    <w:basedOn w:val="Normal"/>
    <w:qFormat/>
    <w:pPr>
      <w:numPr>
        <w:ilvl w:val="0"/>
        <w:numId w:val="2"/>
      </w:numPr>
      <w:pBdr>
        <w:top w:val="single" w:sz="6" w:space="1" w:color="000000"/>
        <w:left w:val="single" w:sz="6" w:space="1" w:color="000000"/>
        <w:bottom w:val="single" w:sz="6" w:space="1" w:color="000000"/>
        <w:right w:val="single" w:sz="6" w:space="1" w:color="000000"/>
      </w:pBdr>
      <w:spacing w:before="0" w:after="200"/>
      <w:ind w:hanging="170" w:start="170" w:end="0"/>
    </w:pPr>
    <w:rPr>
      <w:rFonts w:ascii="Arial Narrow" w:hAnsi="Arial Narrow" w:cs="Arial Narrow"/>
      <w:b/>
      <w:sz w:val="22"/>
    </w:rPr>
  </w:style>
  <w:style w:type="paragraph" w:styleId="abnMarker">
    <w:name w:val="abnMarker"/>
    <w:basedOn w:val="abnNBodyText"/>
    <w:qFormat/>
    <w:pPr/>
    <w:rPr>
      <w:rFonts w:ascii="Courier" w:hAnsi="Courier" w:cs="Courier"/>
      <w:color w:val="FF0000"/>
      <w:sz w:val="20"/>
    </w:rPr>
  </w:style>
  <w:style w:type="paragraph" w:styleId="abnMainTableFirstRow">
    <w:name w:val="abnMainTableFirstRow"/>
    <w:basedOn w:val="Normal"/>
    <w:qFormat/>
    <w:pPr>
      <w:spacing w:before="0" w:after="20"/>
    </w:pPr>
    <w:rPr>
      <w:rFonts w:ascii="Arial Narrow" w:hAnsi="Arial Narrow" w:cs="Arial Narrow"/>
      <w:b/>
      <w:sz w:val="15"/>
    </w:rPr>
  </w:style>
  <w:style w:type="paragraph" w:styleId="abnForecastTableDefault">
    <w:name w:val="abnForecastTableDefault"/>
    <w:basedOn w:val="Normal"/>
    <w:qFormat/>
    <w:pPr>
      <w:spacing w:before="20" w:after="20"/>
    </w:pPr>
    <w:rPr>
      <w:rFonts w:ascii="Arial Narrow" w:hAnsi="Arial Narrow" w:cs="Arial Narrow"/>
      <w:sz w:val="15"/>
    </w:rPr>
  </w:style>
  <w:style w:type="paragraph" w:styleId="abnForecastTableBreak">
    <w:name w:val="abnForecastTableBreak"/>
    <w:basedOn w:val="abnForecastTableDefault"/>
    <w:qFormat/>
    <w:pPr>
      <w:spacing w:before="80" w:after="20"/>
    </w:pPr>
    <w:rPr/>
  </w:style>
  <w:style w:type="paragraph" w:styleId="abnKeyDataDefault">
    <w:name w:val="abnKeyDataDefault"/>
    <w:basedOn w:val="Normal"/>
    <w:qFormat/>
    <w:pPr>
      <w:spacing w:lineRule="exact" w:line="260"/>
    </w:pPr>
    <w:rPr>
      <w:rFonts w:ascii="Arial Narrow" w:hAnsi="Arial Narrow" w:cs="Arial Narrow"/>
      <w:sz w:val="14"/>
    </w:rPr>
  </w:style>
  <w:style w:type="paragraph" w:styleId="abnHLevel3Heading">
    <w:name w:val="abnH Level 3 Heading"/>
    <w:basedOn w:val="abnHLevel2Heading"/>
    <w:qFormat/>
    <w:pPr>
      <w:spacing w:before="0" w:after="80"/>
    </w:pPr>
    <w:rPr>
      <w:sz w:val="20"/>
    </w:rPr>
  </w:style>
  <w:style w:type="paragraph" w:styleId="abnHHeadline">
    <w:name w:val="abnH Headline"/>
    <w:basedOn w:val="Normal"/>
    <w:next w:val="abnNFront"/>
    <w:qFormat/>
    <w:pPr>
      <w:spacing w:before="0" w:after="200"/>
      <w:ind w:hanging="0" w:start="170" w:end="0"/>
    </w:pPr>
    <w:rPr>
      <w:rFonts w:ascii="Arial Narrow" w:hAnsi="Arial Narrow" w:cs="Arial Narrow"/>
      <w:sz w:val="54"/>
    </w:rPr>
  </w:style>
  <w:style w:type="paragraph" w:styleId="abnNFront">
    <w:name w:val="abnN Front"/>
    <w:basedOn w:val="Normal"/>
    <w:qFormat/>
    <w:pPr>
      <w:numPr>
        <w:ilvl w:val="0"/>
        <w:numId w:val="3"/>
      </w:numPr>
      <w:spacing w:before="0" w:after="200"/>
      <w:ind w:hanging="170" w:start="170" w:end="0"/>
    </w:pPr>
    <w:rPr>
      <w:rFonts w:ascii="Arial Narrow" w:hAnsi="Arial Narrow" w:cs="Arial Narrow"/>
      <w:b/>
      <w:sz w:val="22"/>
    </w:rPr>
  </w:style>
  <w:style w:type="paragraph" w:styleId="abnHHeadreFP">
    <w:name w:val="abnH Headre FP"/>
    <w:basedOn w:val="Normal"/>
    <w:qFormat/>
    <w:pPr/>
    <w:rPr>
      <w:rFonts w:ascii="Arial Narrow" w:hAnsi="Arial Narrow" w:cs="Arial Narrow"/>
      <w:b/>
      <w:i/>
      <w:caps/>
      <w:sz w:val="16"/>
    </w:rPr>
  </w:style>
  <w:style w:type="paragraph" w:styleId="abnHTitle">
    <w:name w:val="abnH Title"/>
    <w:basedOn w:val="abnHLevel2Heading"/>
    <w:qFormat/>
    <w:pPr/>
    <w:rPr>
      <w:sz w:val="68"/>
    </w:rPr>
  </w:style>
  <w:style w:type="paragraph" w:styleId="abnBCountry">
    <w:name w:val="abnB Country"/>
    <w:basedOn w:val="Normal"/>
    <w:qFormat/>
    <w:pPr/>
    <w:rPr>
      <w:rFonts w:ascii="Arial Narrow" w:hAnsi="Arial Narrow" w:cs="Arial Narrow"/>
      <w:b/>
      <w:sz w:val="24"/>
    </w:rPr>
  </w:style>
  <w:style w:type="paragraph" w:styleId="abnBSector">
    <w:name w:val="abnB Sector"/>
    <w:basedOn w:val="Normal"/>
    <w:qFormat/>
    <w:pPr/>
    <w:rPr>
      <w:rFonts w:ascii="Arial Narrow" w:hAnsi="Arial Narrow" w:cs="Arial Narrow"/>
      <w:b/>
      <w:sz w:val="24"/>
    </w:rPr>
  </w:style>
  <w:style w:type="paragraph" w:styleId="aaSTableBreak">
    <w:name w:val="aaS Table Break"/>
    <w:basedOn w:val="Normal"/>
    <w:qFormat/>
    <w:pPr>
      <w:spacing w:before="40" w:after="120"/>
    </w:pPr>
    <w:rPr>
      <w:rFonts w:ascii="AAFormataLight" w:hAnsi="AAFormataLight" w:cs="AAFormataLight"/>
      <w:sz w:val="14"/>
    </w:rPr>
  </w:style>
  <w:style w:type="paragraph" w:styleId="abnNBullets">
    <w:name w:val="abnN Bullets"/>
    <w:basedOn w:val="abnNBodyText"/>
    <w:qFormat/>
    <w:pPr>
      <w:numPr>
        <w:ilvl w:val="0"/>
        <w:numId w:val="4"/>
      </w:numPr>
      <w:spacing w:before="0" w:after="0"/>
      <w:ind w:hanging="284" w:start="284" w:end="0"/>
    </w:pPr>
    <w:rPr/>
  </w:style>
  <w:style w:type="paragraph" w:styleId="aaFPTitle02">
    <w:name w:val="aaFP Title02"/>
    <w:basedOn w:val="Normal"/>
    <w:qFormat/>
    <w:pPr>
      <w:spacing w:lineRule="atLeast" w:line="600"/>
    </w:pPr>
    <w:rPr>
      <w:rFonts w:ascii="AAFormataMedium" w:hAnsi="AAFormataMedium" w:cs="AAFormataMedium"/>
      <w:sz w:val="54"/>
    </w:rPr>
  </w:style>
  <w:style w:type="paragraph" w:styleId="aaFPSubtitle">
    <w:name w:val="aaFP Subtitle"/>
    <w:basedOn w:val="Normal"/>
    <w:qFormat/>
    <w:pPr>
      <w:spacing w:lineRule="atLeast" w:line="560"/>
    </w:pPr>
    <w:rPr>
      <w:rFonts w:ascii="AAFormataRegular" w:hAnsi="AAFormataRegular" w:cs="AAFormataRegular"/>
      <w:sz w:val="50"/>
    </w:rPr>
  </w:style>
  <w:style w:type="paragraph" w:styleId="aaFPBullets">
    <w:name w:val="aaFP Bullets"/>
    <w:basedOn w:val="Normal"/>
    <w:qFormat/>
    <w:pPr>
      <w:numPr>
        <w:ilvl w:val="0"/>
        <w:numId w:val="5"/>
      </w:numPr>
      <w:spacing w:lineRule="atLeast" w:line="260" w:before="0" w:after="220"/>
      <w:ind w:hanging="170" w:start="0" w:end="0"/>
    </w:pPr>
    <w:rPr>
      <w:rFonts w:ascii="AAFormataMedium" w:hAnsi="AAFormataMedium" w:cs="AAFormataMedium"/>
      <w:sz w:val="22"/>
    </w:rPr>
  </w:style>
  <w:style w:type="paragraph" w:styleId="aaNBodyText">
    <w:name w:val="aaN Body Text"/>
    <w:basedOn w:val="Normal"/>
    <w:qFormat/>
    <w:pPr>
      <w:spacing w:lineRule="atLeast" w:line="240" w:before="0" w:after="160"/>
    </w:pPr>
    <w:rPr>
      <w:rFonts w:ascii="AAUtopia" w:hAnsi="AAUtopia" w:cs="AAUtopia"/>
      <w:sz w:val="18"/>
    </w:rPr>
  </w:style>
  <w:style w:type="paragraph" w:styleId="aaHLevel1Heading">
    <w:name w:val="aaH Level 1 Heading"/>
    <w:basedOn w:val="aaFPBullets"/>
    <w:qFormat/>
    <w:pPr>
      <w:spacing w:lineRule="atLeast" w:line="480" w:before="0" w:after="80"/>
    </w:pPr>
    <w:rPr>
      <w:sz w:val="31"/>
    </w:rPr>
  </w:style>
  <w:style w:type="paragraph" w:styleId="aaFPDisclaimer">
    <w:name w:val="aaFP Disclaimer"/>
    <w:basedOn w:val="Normal"/>
    <w:qFormat/>
    <w:pPr>
      <w:pBdr>
        <w:top w:val="single" w:sz="6" w:space="1" w:color="000000"/>
      </w:pBdr>
      <w:tabs>
        <w:tab w:val="clear" w:pos="284"/>
        <w:tab w:val="left" w:pos="2665" w:leader="none"/>
        <w:tab w:val="left" w:pos="3090" w:leader="none"/>
      </w:tabs>
      <w:spacing w:lineRule="atLeast" w:line="160"/>
      <w:jc w:val="both"/>
    </w:pPr>
    <w:rPr>
      <w:rFonts w:ascii="AAFormataLight" w:hAnsi="AAFormataLight" w:cs="AAFormataLight"/>
      <w:sz w:val="12"/>
    </w:rPr>
  </w:style>
  <w:style w:type="paragraph" w:styleId="aaFPPrice">
    <w:name w:val="aaFP Price"/>
    <w:basedOn w:val="Normal"/>
    <w:qFormat/>
    <w:pPr/>
    <w:rPr>
      <w:rFonts w:ascii="AAFormataBold" w:hAnsi="AAFormataBold" w:cs="AAFormataBold"/>
      <w:sz w:val="24"/>
    </w:rPr>
  </w:style>
  <w:style w:type="paragraph" w:styleId="aaFPRecommendation">
    <w:name w:val="aaFP Recommendation"/>
    <w:basedOn w:val="Normal"/>
    <w:qFormat/>
    <w:pPr/>
    <w:rPr>
      <w:rFonts w:ascii="AAFormataBold" w:hAnsi="AAFormataBold" w:cs="AAFormataBold"/>
      <w:sz w:val="28"/>
    </w:rPr>
  </w:style>
  <w:style w:type="paragraph" w:styleId="aaFPRecommendationChange">
    <w:name w:val="aaFP Recommendation Change"/>
    <w:basedOn w:val="Normal"/>
    <w:qFormat/>
    <w:pPr>
      <w:spacing w:lineRule="atLeast" w:line="220"/>
    </w:pPr>
    <w:rPr>
      <w:rFonts w:ascii="AAFormataRegular" w:hAnsi="AAFormataRegular" w:cs="AAFormataRegular"/>
      <w:sz w:val="17"/>
    </w:rPr>
  </w:style>
  <w:style w:type="paragraph" w:styleId="aaTColumnHeading">
    <w:name w:val="aaT Column Heading"/>
    <w:basedOn w:val="Normal"/>
    <w:qFormat/>
    <w:pPr>
      <w:jc w:val="end"/>
    </w:pPr>
    <w:rPr>
      <w:rFonts w:ascii="Formata Regular" w:hAnsi="Formata Regular" w:cs="Formata Regular"/>
      <w:b/>
      <w:sz w:val="16"/>
    </w:rPr>
  </w:style>
  <w:style w:type="paragraph" w:styleId="aaTFigure">
    <w:name w:val="aaT Figure"/>
    <w:basedOn w:val="Normal"/>
    <w:qFormat/>
    <w:pPr>
      <w:jc w:val="end"/>
    </w:pPr>
    <w:rPr>
      <w:rFonts w:ascii="Formata Regular" w:hAnsi="Formata Regular" w:cs="Formata Regular"/>
      <w:sz w:val="16"/>
    </w:rPr>
  </w:style>
  <w:style w:type="paragraph" w:styleId="aaTTableheading">
    <w:name w:val="aaT Table heading"/>
    <w:basedOn w:val="Normal"/>
    <w:qFormat/>
    <w:pPr>
      <w:spacing w:before="0" w:after="60"/>
      <w:jc w:val="end"/>
    </w:pPr>
    <w:rPr>
      <w:rFonts w:ascii="AAFormataMedium" w:hAnsi="AAFormataMedium" w:cs="AAFormataMedium"/>
      <w:sz w:val="16"/>
    </w:rPr>
  </w:style>
  <w:style w:type="paragraph" w:styleId="aaTTabletitle">
    <w:name w:val="aaT Table title"/>
    <w:basedOn w:val="Normal"/>
    <w:qFormat/>
    <w:pPr>
      <w:spacing w:before="60" w:after="0"/>
      <w:jc w:val="end"/>
    </w:pPr>
    <w:rPr>
      <w:rFonts w:ascii="AAFormataBold" w:hAnsi="AAFormataBold" w:cs="AAFormataBold"/>
      <w:sz w:val="18"/>
    </w:rPr>
  </w:style>
  <w:style w:type="paragraph" w:styleId="aaTTabletext">
    <w:name w:val="aaT Table text"/>
    <w:basedOn w:val="Normal"/>
    <w:qFormat/>
    <w:pPr>
      <w:spacing w:before="20" w:after="20"/>
    </w:pPr>
    <w:rPr>
      <w:rFonts w:ascii="AAFormataRegular" w:hAnsi="AAFormataRegular" w:cs="AAFormataRegular"/>
      <w:sz w:val="16"/>
    </w:rPr>
  </w:style>
  <w:style w:type="paragraph" w:styleId="aaHHeading">
    <w:name w:val="aaH Heading"/>
    <w:basedOn w:val="aaHLevel1Heading"/>
    <w:qFormat/>
    <w:pPr>
      <w:numPr>
        <w:ilvl w:val="0"/>
        <w:numId w:val="6"/>
      </w:numPr>
      <w:ind w:hanging="0" w:start="0" w:end="0"/>
    </w:pPr>
    <w:rPr/>
  </w:style>
  <w:style w:type="paragraph" w:styleId="FootnoteText">
    <w:name w:val="footnote text"/>
    <w:basedOn w:val="Normal"/>
    <w:pPr/>
    <w:rPr/>
  </w:style>
  <w:style w:type="paragraph" w:styleId="aaFPEvent">
    <w:name w:val="aaFP Event"/>
    <w:basedOn w:val="Normal"/>
    <w:qFormat/>
    <w:pPr>
      <w:pBdr>
        <w:bottom w:val="single" w:sz="24" w:space="0" w:color="000000"/>
      </w:pBdr>
    </w:pPr>
    <w:rPr>
      <w:rFonts w:ascii="AAFormataMediumCondensedItalic" w:hAnsi="AAFormataMediumCondensedItalic" w:cs="AAFormataMediumCondensedItalic"/>
      <w:caps/>
      <w:sz w:val="16"/>
    </w:rPr>
  </w:style>
  <w:style w:type="paragraph" w:styleId="aaTableTitle">
    <w:name w:val="aa Table Title"/>
    <w:basedOn w:val="aaSTableBreak"/>
    <w:qFormat/>
    <w:pPr>
      <w:spacing w:lineRule="atLeast" w:line="280"/>
    </w:pPr>
    <w:rPr>
      <w:rFonts w:ascii="AAFormataBold" w:hAnsi="AAFormataBold" w:cs="AAFormataBold"/>
      <w:sz w:val="18"/>
    </w:rPr>
  </w:style>
  <w:style w:type="paragraph" w:styleId="aaFCEventbar">
    <w:name w:val="aaFC Event bar"/>
    <w:basedOn w:val="Normal"/>
    <w:qFormat/>
    <w:pPr>
      <w:pBdr>
        <w:bottom w:val="single" w:sz="18" w:space="0" w:color="000000"/>
      </w:pBdr>
      <w:spacing w:before="0" w:after="80"/>
    </w:pPr>
    <w:rPr>
      <w:rFonts w:ascii="AAFormataMediumCondensedItalic" w:hAnsi="AAFormataMediumCondensedItalic" w:cs="AAFormataMediumCondensedItalic"/>
      <w:caps/>
      <w:kern w:val="2"/>
      <w:sz w:val="16"/>
    </w:rPr>
  </w:style>
  <w:style w:type="paragraph" w:styleId="aaFPTitle01">
    <w:name w:val="aaFP Title01"/>
    <w:basedOn w:val="aaFPTitle02"/>
    <w:qFormat/>
    <w:pPr/>
    <w:rPr>
      <w:sz w:val="68"/>
    </w:rPr>
  </w:style>
  <w:style w:type="paragraph" w:styleId="aaFCDate">
    <w:name w:val="aaFC Date"/>
    <w:basedOn w:val="Normal"/>
    <w:qFormat/>
    <w:pPr/>
    <w:rPr>
      <w:rFonts w:ascii="AAFormataMedium" w:hAnsi="AAFormataMedium" w:cs="AAFormataMedium"/>
      <w:sz w:val="17"/>
      <w:lang w:val="en-CA" w:eastAsia="en-CA"/>
    </w:rPr>
  </w:style>
  <w:style w:type="paragraph" w:styleId="aaFCCountrySector">
    <w:name w:val="aaFC Country/Sector"/>
    <w:basedOn w:val="aaFPPrice"/>
    <w:qFormat/>
    <w:pPr/>
    <w:rPr/>
  </w:style>
  <w:style w:type="paragraph" w:styleId="BodyText2">
    <w:name w:val="Body Text 2"/>
    <w:basedOn w:val="Normal"/>
    <w:qFormat/>
    <w:pPr>
      <w:widowControl w:val="false"/>
      <w:jc w:val="both"/>
    </w:pPr>
    <w:rPr>
      <w:lang w:val="en-US"/>
    </w:rPr>
  </w:style>
  <w:style w:type="paragraph" w:styleId="Text">
    <w:name w:val="Text"/>
    <w:basedOn w:val="Normal"/>
    <w:qFormat/>
    <w:pPr>
      <w:widowControl w:val="false"/>
      <w:suppressAutoHyphens w:val="true"/>
      <w:spacing w:before="0" w:after="100"/>
    </w:pPr>
    <w:rPr>
      <w:lang w:val="en-US"/>
    </w:rPr>
  </w:style>
  <w:style w:type="paragraph" w:styleId="Table-Left">
    <w:name w:val="Table-Left"/>
    <w:basedOn w:val="Normal"/>
    <w:qFormat/>
    <w:pPr>
      <w:widowControl w:val="false"/>
      <w:spacing w:lineRule="exact" w:line="180" w:before="20" w:after="20"/>
    </w:pPr>
    <w:rPr>
      <w:rFonts w:ascii="Arial Narrow" w:hAnsi="Arial Narrow" w:cs="Arial Narrow"/>
      <w:sz w:val="17"/>
      <w:lang w:val="en-US"/>
    </w:rPr>
  </w:style>
  <w:style w:type="paragraph" w:styleId="Table-Right">
    <w:name w:val="Table-Right"/>
    <w:basedOn w:val="Table-Left"/>
    <w:qFormat/>
    <w:pPr>
      <w:ind w:hanging="0" w:start="0" w:end="29"/>
      <w:jc w:val="end"/>
    </w:pPr>
    <w:rPr/>
  </w:style>
  <w:style w:type="paragraph" w:styleId="Heading2line">
    <w:name w:val="Heading 2 line"/>
    <w:basedOn w:val="Normal"/>
    <w:next w:val="Heading2"/>
    <w:qFormat/>
    <w:pPr>
      <w:keepNext w:val="true"/>
      <w:keepLines/>
      <w:widowControl w:val="false"/>
      <w:pBdr>
        <w:bottom w:val="single" w:sz="6" w:space="0" w:color="008000"/>
      </w:pBdr>
      <w:spacing w:lineRule="exact" w:line="160"/>
    </w:pPr>
    <w:rPr>
      <w:rFonts w:ascii="Arial Narrow" w:hAnsi="Arial Narrow" w:cs="Arial Narrow"/>
      <w:lang w:val="en-US"/>
    </w:rPr>
  </w:style>
  <w:style w:type="paragraph" w:styleId="Heading2Table">
    <w:name w:val="Heading 2 Table"/>
    <w:basedOn w:val="Normal"/>
    <w:qFormat/>
    <w:pPr>
      <w:keepNext w:val="true"/>
      <w:keepLines/>
      <w:widowControl w:val="false"/>
      <w:pBdr>
        <w:top w:val="single" w:sz="6" w:space="2" w:color="008000"/>
      </w:pBdr>
      <w:spacing w:before="0" w:after="120"/>
      <w:ind w:hanging="0" w:start="0" w:end="1152"/>
    </w:pPr>
    <w:rPr>
      <w:rFonts w:ascii="Arial Narrow" w:hAnsi="Arial Narrow" w:cs="Arial Narrow"/>
      <w:b/>
      <w:sz w:val="19"/>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3.wmf"/><Relationship Id="rId9" Type="http://schemas.openxmlformats.org/officeDocument/2006/relationships/footer" Target="footer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2001-07-31T08:30:00Z</dcterms:created>
  <dc:creator>ABN AMRO</dc:creator>
  <dc:description/>
  <dc:language>en-CA</dc:language>
  <cp:lastModifiedBy>PTC</cp:lastModifiedBy>
  <cp:lastPrinted>2000-10-31T08:15:00Z</cp:lastPrinted>
  <dcterms:modified xsi:type="dcterms:W3CDTF">2001-07-31T08:34:00Z</dcterms:modified>
  <cp:revision>3</cp:revision>
  <dc:subject/>
  <dc:title>Flashnote</dc:title>
</cp:coreProperties>
</file>