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 SHEET</w:t>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2178"/>
        <w:gridCol w:w="270"/>
        <w:gridCol w:w="7128"/>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Enron Net Works L.L.C., an affiliate of Enron North America Corp. (“Enron”), owns and operates EnronOnline, an electronic energy trading platform. HoustonStreet Exchange, Inc., a Delaware corporation (the “Company”), also operates an electronic energy trading platform.  In the proposed transaction, Enron will acquire up to 20% of the common stock of the Company in exchange for an agreement (the “Posting Agreement” described in more detail below) pursuant to which Enron would agree to post prices for certain products on the Company’s platform, all as described on the terms and conditions set forth in this Term Sheet.</w:t>
            </w:r>
          </w:p>
          <w:p>
            <w:pPr>
              <w:pStyle w:val="Normal"/>
              <w:jc w:val="both"/>
              <w:rPr>
                <w:sz w:val="22"/>
              </w:rPr>
            </w:pPr>
            <w:r>
              <w:rPr>
                <w:sz w:val="22"/>
              </w:rPr>
            </w:r>
          </w:p>
          <w:p>
            <w:pPr>
              <w:pStyle w:val="Normal"/>
              <w:jc w:val="both"/>
              <w:rPr>
                <w:sz w:val="22"/>
              </w:rPr>
            </w:pPr>
            <w:r>
              <w:rPr>
                <w:sz w:val="22"/>
              </w:rPr>
              <w:t>This term sheet includes terms and conditions that Enron would typically expect to receive in an equity investment, and has been prepared without the benefit of a due diligence investigation, which Enron has yet to conduct, or substantial discussions with the Company with respect to many of the terms and conditions set forth herein.  Among other things, the terms and conditions  of any equity investment by Enron in the Company may depend upon the terms and conditions of equity investments made by other investors in the Company.  Accordingly, the term and conditions set forth herein are expressly subject to, and Enron reserves the right to reconsider the terms and conditions set forth herein as a result of, its due diligence investigation and further discussions with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acquired by Enron:</w:t>
            </w:r>
          </w:p>
        </w:tc>
        <w:tc>
          <w:tcPr>
            <w:tcW w:w="270" w:type="dxa"/>
            <w:tcBorders/>
          </w:tcPr>
          <w:p>
            <w:pPr>
              <w:pStyle w:val="Normal"/>
              <w:snapToGrid w:val="false"/>
              <w:jc w:val="center"/>
              <w:rPr>
                <w:b/>
                <w:sz w:val="22"/>
              </w:rPr>
            </w:pPr>
            <w:r>
              <w:rPr>
                <w:b/>
                <w:sz w:val="22"/>
              </w:rPr>
            </w:r>
          </w:p>
        </w:tc>
        <w:tc>
          <w:tcPr>
            <w:tcW w:w="7128" w:type="dxa"/>
            <w:tcBorders/>
          </w:tcPr>
          <w:p>
            <w:pPr>
              <w:pStyle w:val="BodyText2"/>
              <w:rPr/>
            </w:pPr>
            <w:r>
              <w:rPr/>
              <w:t>Up to 20% (computed on a fully diluted basis) of the Company’s Common Stock.  7% of the Company’s Common Stock will be issued to Enron upon execution of the Definitive Agreements, and up to an additional 3% will be issued to Enron based upon volumes transacted by Enron through the Company’s platform, in increments of 1% for every 300,000,000 mmbtus (or its equivalent in megawatt-hours (“MWh”) using 8,500 Btu per kwh as the conversion factor) in transactions entered into by Enron pursuant to the Posting Agreement.</w:t>
            </w:r>
          </w:p>
          <w:p>
            <w:pPr>
              <w:pStyle w:val="Normal"/>
              <w:jc w:val="both"/>
              <w:rPr>
                <w:sz w:val="22"/>
              </w:rPr>
            </w:pPr>
            <w:r>
              <w:rPr>
                <w:sz w:val="22"/>
              </w:rPr>
              <w:t xml:space="preserve"> </w:t>
            </w:r>
          </w:p>
          <w:p>
            <w:pPr>
              <w:pStyle w:val="Normal"/>
              <w:jc w:val="both"/>
              <w:rPr/>
            </w:pPr>
            <w:r>
              <w:rPr>
                <w:sz w:val="22"/>
              </w:rPr>
              <w:t>Upon execution of the Definitive Agreements, Enron will also receive restricted shares representing an additional 10% of the common equity of the Company which shall be subject to redemption by the Company at par value in the event that Enron enters into an agreement to post prices or make markets on an electronic trading platform competing with the Company on or before the date occurring one year after the completion of the technology link (interface) by which Enron’s prices are posted on the Company’s trading platform.</w:t>
            </w:r>
            <w:r>
              <w:rPr>
                <w:strike/>
                <w:sz w:val="22"/>
              </w:rPr>
              <w:t xml:space="preserve">   </w:t>
            </w:r>
          </w:p>
          <w:p>
            <w:pPr>
              <w:pStyle w:val="Normal"/>
              <w:jc w:val="both"/>
              <w:rPr>
                <w:strike/>
                <w:sz w:val="22"/>
              </w:rPr>
            </w:pPr>
            <w:r>
              <w:rPr>
                <w:strike/>
                <w:sz w:val="22"/>
              </w:rPr>
            </w:r>
          </w:p>
          <w:p>
            <w:pPr>
              <w:pStyle w:val="Normal"/>
              <w:jc w:val="both"/>
              <w:rPr>
                <w:sz w:val="22"/>
              </w:rPr>
            </w:pPr>
            <w:r>
              <w:rPr>
                <w:sz w:val="22"/>
              </w:rPr>
              <w:t xml:space="preserve">Enron’s equity interest in the Company will be subject to anti-dilution protection as discussed below in “Preemptive Rights.”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Definitive agreements governing Enron’s acquisition of its equity interest in the Company will include a Subscription Agreement, a Stockholders Agreement, and the Posting Agreements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p>
            <w:pPr>
              <w:pStyle w:val="Normal"/>
              <w:jc w:val="both"/>
              <w:rPr>
                <w:sz w:val="22"/>
              </w:rPr>
            </w:pPr>
            <w:r>
              <w:rPr>
                <w:sz w:val="22"/>
              </w:rPr>
            </w:r>
          </w:p>
          <w:p>
            <w:pPr>
              <w:pStyle w:val="Normal"/>
              <w:jc w:val="both"/>
              <w:rPr>
                <w:sz w:val="22"/>
              </w:rPr>
            </w:pPr>
            <w:r>
              <w:rPr>
                <w:sz w:val="22"/>
              </w:rPr>
            </w:r>
          </w:p>
        </w:tc>
      </w:tr>
      <w:tr>
        <w:trPr/>
        <w:tc>
          <w:tcPr>
            <w:tcW w:w="2178" w:type="dxa"/>
            <w:tcBorders/>
          </w:tcPr>
          <w:p>
            <w:pPr>
              <w:pStyle w:val="Normal"/>
              <w:rPr>
                <w:b/>
                <w:sz w:val="22"/>
              </w:rPr>
            </w:pPr>
            <w:r>
              <w:rPr>
                <w:b/>
                <w:sz w:val="22"/>
              </w:rPr>
              <w:t>Closing Date for Acquisition of Equity in the Company:</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Upon satisfaction of all of the conditions to closing set forth below.</w:t>
            </w:r>
            <w:r>
              <w:rPr>
                <w:strike/>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Posting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u w:val="single"/>
              </w:rPr>
            </w:pPr>
            <w:r>
              <w:rPr>
                <w:sz w:val="22"/>
              </w:rPr>
              <w:t xml:space="preserve">At the closing of the Transaction, the Company and Enron will enter into a “Posting Agreement” pursuant to which Enron will agree to post prices for certain products to the Company’s platform in a manner that will permit the Company’s customers to electronically attempt to transact, through the Company’s websites but on Enron’s interface, with respect to Subject Products (defined below).  </w:t>
            </w:r>
          </w:p>
          <w:p>
            <w:pPr>
              <w:pStyle w:val="Normal"/>
              <w:jc w:val="both"/>
              <w:rPr>
                <w:sz w:val="22"/>
              </w:rPr>
            </w:pPr>
            <w:r>
              <w:rPr>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The Company will provide, at the Company’s expense and in accordance with Enron’s specifications and technical requirements to be set forth in the Posting Agreement, an interface which will be used by Enron to post prices for Subject Products on the Company’s website.  Enron will provide, at Enron’s expense and in accordance with Enron’s specifications and technical requirements to be set forth in the Posting Agreement, an interface for the Company’s customers to attempt transactions (as discussed below) on  Enron’s interface.  The parties will also establish a credit interface to facilitate Enron’s credit decisions with respect to attempted transactions.  While Enron shall not be required to employ identical criteria for making credit decisions with respect to transactions conducted on the Company’s website as those otherwise employed by Enron, any differences in credit criteria shall be commercially reasonable.  In addition, the Company will publish to Enron a real-time price data feed in XML format of all prices on its electronic trading platform.  The Company’s information contained in such price data feed shall be used by Enron only upon its systems and equipment, the right to such information is not assignable and may not be delegated, and the Posting Agreement will prohibit Enron from republishing, retransmitting or redistributing the prices received by Enron from the Company in any manner, including but not limited to providing price feeds to other trading platforms or otherwise granting to other platforms access to such prices.</w:t>
            </w:r>
          </w:p>
          <w:p>
            <w:pPr>
              <w:pStyle w:val="Normal"/>
              <w:jc w:val="both"/>
              <w:rPr>
                <w:sz w:val="22"/>
                <w:u w:val="none"/>
              </w:rPr>
            </w:pPr>
            <w:r>
              <w:rPr>
                <w:sz w:val="22"/>
                <w:u w:val="none"/>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The Company’s customers will be permitted to attempt to transact against prices posted by Enron.  Accordingly, prices posted by Enron on the Company’s website shall not be deemed to be offers to sell or buy, and all attempted transactions must be validated against Enron’s interface in accordance with Enron’s customary operating policies and practices.  The point of contract for all transactions consummated on prices that are posted by Enron shall be Enron’s interface, and all of such transactions will be consummated pursuant to Enron’s General Terms and Conditions, or the terms of a master agreement between the Company’s customer and Enron, if any.  The manner in which the Company’s customers will agree to transact under Enron’s General Terms and Conditions is to be determined.</w:t>
            </w:r>
          </w:p>
          <w:p>
            <w:pPr>
              <w:pStyle w:val="Normal"/>
              <w:jc w:val="both"/>
              <w:rPr>
                <w:sz w:val="22"/>
                <w:u w:val="none"/>
              </w:rPr>
            </w:pPr>
            <w:r>
              <w:rPr>
                <w:sz w:val="22"/>
                <w:u w:val="none"/>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 xml:space="preserve">Ensuring that the information posted upon the Company’s website accurately reflects the information supplied to the Company by Enron is the responsibility of the Company.  The process of “mapping” the products offered by the Company and the prices posted by Enron in order to ensure accurate matching of Subject Products between the Company’s website and Enron’s interface is to be determined.  Enron will use its commercially reasonable efforts to promptly provide the Company with such information as the Company shall reasonably require in order to map the products offered by the Company with Enron’s prices; however, the Company shall be solely responsible for the accuracy of the mapping, and Enron will not be liable to the Company or any of its customers for damages in the event of any inaccuracy in mapping.   </w:t>
            </w:r>
          </w:p>
          <w:p>
            <w:pPr>
              <w:pStyle w:val="Normal"/>
              <w:jc w:val="both"/>
              <w:rPr>
                <w:sz w:val="22"/>
                <w:u w:val="none"/>
              </w:rPr>
            </w:pPr>
            <w:r>
              <w:rPr>
                <w:sz w:val="22"/>
                <w:u w:val="none"/>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pPr>
            <w:r>
              <w:rPr>
                <w:u w:val="none"/>
              </w:rPr>
              <w:t>The Posting Agreement will provide that the Company will have the right to post Enron’s prices on the Company’s website only, that the right to display Enron’s prices is not assignable and may not be delegated, and will prohibit the Company from republishing, retransmitting or redistributing the prices posted by Enron in any manner, including but not limited to providing price feeds to other trading platforms or otherwise granting to other platforms access to Enron’s prices, except that the Company will be permitted to provide electronic data feeds that include Enron’s prices (anonymously) to clients of the Company’s platform for the sole purpose of permitting such clients to enhance their trading capabilities on the Company’s platform.</w:t>
            </w:r>
            <w:r>
              <w:rPr/>
              <w:t xml:space="preserve">       </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 xml:space="preserve">Enron will not be required to pay to the Company any commission or other charge with respect to any transaction completed with Enron through the Company’s Platform, except in those cases where Enron transacts directly, outside of the electronic interfaces, on the Company’s platform.  Commissions charged to those customers completing transactions with Enron on the Company’s platform shall not exceed the Company’s standard commission rates.  Each party shall be solely responsible for the costs and expenses of operating and maintaining its respective platform; the Company will be responsible for all telecommunication costs and expenses from the Company’s website to the  EnronOnline  website. </w:t>
            </w:r>
          </w:p>
          <w:p>
            <w:pPr>
              <w:pStyle w:val="Normal"/>
              <w:jc w:val="both"/>
              <w:rPr>
                <w:sz w:val="22"/>
                <w:u w:val="none"/>
              </w:rPr>
            </w:pPr>
            <w:r>
              <w:rPr>
                <w:sz w:val="22"/>
                <w:u w:val="none"/>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Prior to Closing, the Company and Enron will agree to specific products with respect to which Enron will post prices on the Company’s Platform (the Subject Products”).  The list attached as Schedule “A” is a preliminary list of proposed products to be made available by Enron to the Company.</w:t>
            </w:r>
          </w:p>
          <w:p>
            <w:pPr>
              <w:pStyle w:val="Normal"/>
              <w:jc w:val="both"/>
              <w:rPr>
                <w:sz w:val="22"/>
                <w:u w:val="none"/>
              </w:rPr>
            </w:pPr>
            <w:r>
              <w:rPr>
                <w:sz w:val="22"/>
                <w:u w:val="none"/>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 xml:space="preserve">Additional products may be added or deleted by subsequent agreement of the parties.  </w:t>
            </w:r>
          </w:p>
          <w:p>
            <w:pPr>
              <w:pStyle w:val="Normal"/>
              <w:jc w:val="both"/>
              <w:rPr>
                <w:sz w:val="22"/>
                <w:u w:val="none"/>
              </w:rPr>
            </w:pPr>
            <w:r>
              <w:rPr>
                <w:sz w:val="22"/>
                <w:u w:val="none"/>
              </w:rPr>
            </w:r>
          </w:p>
          <w:p>
            <w:pPr>
              <w:pStyle w:val="BodyText2"/>
              <w:rPr/>
            </w:pPr>
            <w:r>
              <w:rPr/>
              <w:t>Enron shall post prices with respect to those products  on Schedule “A” (and products subsequently added, but excepting products subsequently deleted) for so long as it posts prices for such products on EnronOnline.  Enron shall have no obligation to post prices for any product if it is not showing a price for such product on Enron Online (temporarily or otherwise)  or if it removes that product listing from Enron Online.</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Enron shall not be required to act in a manner that is inconsistent with or contrary to its business methods, practices or policies.  Without limiting the foregoing, Enron may in its sole discretion suspend prices or trading, either generally or for particular products, where prices or trading have been similarly suspended on the EnronOnline website.   </w:t>
            </w:r>
          </w:p>
          <w:p>
            <w:pPr>
              <w:pStyle w:val="Normal"/>
              <w:jc w:val="both"/>
              <w:rPr>
                <w:sz w:val="22"/>
              </w:rPr>
            </w:pPr>
            <w:r>
              <w:rPr>
                <w:sz w:val="22"/>
              </w:rPr>
            </w:r>
          </w:p>
          <w:p>
            <w:pPr>
              <w:pStyle w:val="Normal"/>
              <w:jc w:val="both"/>
              <w:rPr/>
            </w:pPr>
            <w:r>
              <w:rPr>
                <w:sz w:val="22"/>
              </w:rPr>
              <w:t xml:space="preserve">Circumstances constituting a breach of the Posting Agreement by a party, consequences of either party’s breach of the Posting Agreement, and circumstances under which the Posting Agreement may be terminated by a party are to be negotiated.    In any event, however, a breaching party will be obligated to reimburse a non-breaching party for Technology Costs  (to be defined in the Definitive Agreements, but in any event excluding  indirect, consequential, special, or punitive damages) incurred by the non-breaching party in connection with providing the interfaces contemplated by the Posting Agreement.  </w:t>
            </w:r>
            <w:r>
              <w:rPr>
                <w:strike/>
                <w:sz w:val="22"/>
              </w:rPr>
              <w:t xml:space="preserve">  </w:t>
            </w:r>
          </w:p>
          <w:p>
            <w:pPr>
              <w:pStyle w:val="Normal"/>
              <w:jc w:val="both"/>
              <w:rPr>
                <w:strike/>
                <w:sz w:val="22"/>
              </w:rPr>
            </w:pPr>
            <w:r>
              <w:rPr>
                <w:strike/>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Preemptive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At any time prior to the Company’s initial public offering, Enron shall be entitled to purchase its pro rata (based upon its equity ownership interest) share of any additional common stock offered by the Company, on the same terms and conditions as such common stock may be offered to third parties.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 to Board Seat; Visitation and Information Rights; Veto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i/>
                <w:i/>
                <w:sz w:val="22"/>
              </w:rPr>
            </w:pPr>
            <w:r>
              <w:rPr>
                <w:sz w:val="22"/>
              </w:rPr>
              <w:t xml:space="preserve">At all times prior to the Company’s initial public offering, Enron shall be entitled to appoint a representative to the Company’s Board of Directors.   If Enron shall not have exercised its right to appoint a member of the Board, Enron shall be entitled to receive prior notice of board action and to attend board meetings, and shall be entitled to access to books and records of the Company.  </w:t>
            </w:r>
          </w:p>
        </w:tc>
      </w:tr>
      <w:tr>
        <w:trPr/>
        <w:tc>
          <w:tcPr>
            <w:tcW w:w="2178" w:type="dxa"/>
            <w:tcBorders/>
          </w:tcPr>
          <w:p>
            <w:pPr>
              <w:pStyle w:val="Normal"/>
              <w:snapToGrid w:val="false"/>
              <w:rPr>
                <w:b/>
                <w:i/>
                <w:i/>
                <w:sz w:val="22"/>
              </w:rPr>
            </w:pPr>
            <w:r>
              <w:rPr>
                <w:b/>
                <w:i/>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Enron shall be entitled to receive the Company’s financial and operating information upon request, with specified information (financial statements, etc.) to be provided on a regularly scheduled basis.  Information will be provided subject to confidentiality restrictions contained in the Stockholders Agreement, legal restrictions (including antitrust considerations), and website independence and neutrality considerations.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Enron Transfer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Enron shall be entitled to transfer its common equity in the Company, in whole or in part, at any time without restriction, other than (i) those imposed by federal and state securities laws and (ii) rights of first refusal and co-sale rights similar to those to which substantially all other equity holders of the Company are subject.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Enron will have rights relating to demand and piggyback registration rights, on and subject to the same terms and conditions as other shareholders of the Company.  The registration rights will be set forth in the Stockholders’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28" w:type="dxa"/>
            <w:tcBorders/>
          </w:tcPr>
          <w:p>
            <w:pPr>
              <w:pStyle w:val="BodyText2"/>
              <w:rPr/>
            </w:pPr>
            <w:r>
              <w:rPr/>
              <w:t>The Company, with respect to itself and each of its Subsidiaries as applicable, shall make representations and warranties (accompanied by customary indemnities)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organization, existence and qualification;</w:t>
            </w:r>
          </w:p>
          <w:p>
            <w:pPr>
              <w:pStyle w:val="Normal"/>
              <w:numPr>
                <w:ilvl w:val="0"/>
                <w:numId w:val="2"/>
              </w:numPr>
              <w:tabs>
                <w:tab w:val="clear" w:pos="720"/>
                <w:tab w:val="left" w:pos="1368" w:leader="none"/>
              </w:tabs>
              <w:ind w:hanging="360" w:start="1368" w:end="0"/>
              <w:jc w:val="both"/>
              <w:rPr>
                <w:sz w:val="22"/>
              </w:rPr>
            </w:pPr>
            <w:r>
              <w:rPr>
                <w:sz w:val="22"/>
              </w:rPr>
              <w:t>authorization and enforceability;</w:t>
            </w:r>
          </w:p>
          <w:p>
            <w:pPr>
              <w:pStyle w:val="Normal"/>
              <w:numPr>
                <w:ilvl w:val="0"/>
                <w:numId w:val="2"/>
              </w:numPr>
              <w:tabs>
                <w:tab w:val="clear" w:pos="720"/>
                <w:tab w:val="left" w:pos="1368" w:leader="none"/>
              </w:tabs>
              <w:ind w:hanging="360" w:start="1368" w:end="0"/>
              <w:jc w:val="both"/>
              <w:rPr>
                <w:sz w:val="22"/>
              </w:rPr>
            </w:pPr>
            <w:r>
              <w:rPr>
                <w:sz w:val="22"/>
              </w:rPr>
              <w:t>organizational documents and capitalization;</w:t>
            </w:r>
          </w:p>
          <w:p>
            <w:pPr>
              <w:pStyle w:val="Normal"/>
              <w:numPr>
                <w:ilvl w:val="0"/>
                <w:numId w:val="2"/>
              </w:numPr>
              <w:tabs>
                <w:tab w:val="clear" w:pos="720"/>
                <w:tab w:val="left" w:pos="1368" w:leader="none"/>
              </w:tabs>
              <w:ind w:hanging="360" w:start="1368" w:end="0"/>
              <w:jc w:val="both"/>
              <w:rPr>
                <w:sz w:val="22"/>
              </w:rPr>
            </w:pPr>
            <w:r>
              <w:rPr>
                <w:sz w:val="22"/>
              </w:rPr>
              <w:t>valid issuance of securities;</w:t>
            </w:r>
          </w:p>
          <w:p>
            <w:pPr>
              <w:pStyle w:val="Normal"/>
              <w:numPr>
                <w:ilvl w:val="0"/>
                <w:numId w:val="2"/>
              </w:numPr>
              <w:tabs>
                <w:tab w:val="clear" w:pos="720"/>
                <w:tab w:val="left" w:pos="1368" w:leader="none"/>
              </w:tabs>
              <w:ind w:hanging="360" w:start="1368" w:end="0"/>
              <w:jc w:val="both"/>
              <w:rPr>
                <w:sz w:val="22"/>
              </w:rPr>
            </w:pPr>
            <w:r>
              <w:rPr>
                <w:sz w:val="22"/>
              </w:rPr>
              <w:t>financial statements and condition;</w:t>
            </w:r>
          </w:p>
          <w:p>
            <w:pPr>
              <w:pStyle w:val="Normal"/>
              <w:numPr>
                <w:ilvl w:val="0"/>
                <w:numId w:val="2"/>
              </w:numPr>
              <w:tabs>
                <w:tab w:val="clear" w:pos="720"/>
                <w:tab w:val="left" w:pos="1368" w:leader="none"/>
              </w:tabs>
              <w:ind w:hanging="360" w:start="1368" w:end="0"/>
              <w:jc w:val="both"/>
              <w:rPr>
                <w:sz w:val="22"/>
              </w:rPr>
            </w:pPr>
            <w:r>
              <w:rPr>
                <w:sz w:val="22"/>
              </w:rPr>
              <w:t>compliance with laws;</w:t>
            </w:r>
          </w:p>
          <w:p>
            <w:pPr>
              <w:pStyle w:val="Normal"/>
              <w:numPr>
                <w:ilvl w:val="0"/>
                <w:numId w:val="2"/>
              </w:numPr>
              <w:tabs>
                <w:tab w:val="clear" w:pos="720"/>
                <w:tab w:val="left" w:pos="1368" w:leader="none"/>
              </w:tabs>
              <w:ind w:hanging="360" w:start="1368" w:end="0"/>
              <w:jc w:val="both"/>
              <w:rPr>
                <w:sz w:val="22"/>
              </w:rPr>
            </w:pPr>
            <w:r>
              <w:rPr>
                <w:sz w:val="22"/>
              </w:rPr>
              <w:t>consents, approvals, and no conflicts;</w:t>
            </w:r>
          </w:p>
          <w:p>
            <w:pPr>
              <w:pStyle w:val="Normal"/>
              <w:numPr>
                <w:ilvl w:val="0"/>
                <w:numId w:val="2"/>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2"/>
              </w:numPr>
              <w:tabs>
                <w:tab w:val="clear" w:pos="720"/>
                <w:tab w:val="left" w:pos="1368" w:leader="none"/>
              </w:tabs>
              <w:ind w:hanging="360" w:start="1368" w:end="0"/>
              <w:jc w:val="both"/>
              <w:rPr>
                <w:sz w:val="22"/>
              </w:rPr>
            </w:pPr>
            <w:r>
              <w:rPr>
                <w:sz w:val="22"/>
              </w:rPr>
              <w:t>taxes;</w:t>
            </w:r>
          </w:p>
          <w:p>
            <w:pPr>
              <w:pStyle w:val="Normal"/>
              <w:numPr>
                <w:ilvl w:val="0"/>
                <w:numId w:val="2"/>
              </w:numPr>
              <w:tabs>
                <w:tab w:val="clear" w:pos="720"/>
                <w:tab w:val="left" w:pos="1368" w:leader="none"/>
              </w:tabs>
              <w:ind w:hanging="360" w:start="1368" w:end="0"/>
              <w:jc w:val="both"/>
              <w:rPr>
                <w:sz w:val="22"/>
              </w:rPr>
            </w:pPr>
            <w:r>
              <w:rPr>
                <w:sz w:val="22"/>
              </w:rPr>
              <w:t>ownership and control;</w:t>
            </w:r>
          </w:p>
          <w:p>
            <w:pPr>
              <w:pStyle w:val="Normal"/>
              <w:numPr>
                <w:ilvl w:val="0"/>
                <w:numId w:val="2"/>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Enron will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no material litigation;</w:t>
            </w:r>
          </w:p>
          <w:p>
            <w:pPr>
              <w:pStyle w:val="Normal"/>
              <w:numPr>
                <w:ilvl w:val="0"/>
                <w:numId w:val="2"/>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2"/>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Business Opportunity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u w:val="single"/>
              </w:rPr>
            </w:pPr>
            <w:r>
              <w:rPr>
                <w:sz w:val="22"/>
              </w:rPr>
              <w:t>The Definitive Agreements will include a business opportunity agreement providing that Enron and its affiliates shall be entitled to enter into similar commercial transactions with other parties, including ventures that may compete with the Company.  Except for the Company’s right to redeem the restricted stock issued to Enron on the Closing Date, Enron’s equity investment in the Company shall not be subject to a “clawback” or other reduction in the event that Enron engages in activities that are protected by the business opportunity agreement.  In the event Enron enters into a competing venture (to be defined in the Definitive Agreements, but including investments in competing platforms), Enron will immediately terminate any representation that it has on the Company’s Board of Directors and forfeit any future right to appoint a representative to the Company’s Board of Directors.  Enron’s participation in such competing ventures shall not affect Enron’s rights to information regarding the Company, provided that such non-public and confidential information shall be provided to Enron subject to a confidentiality agreement with the Company which will, among other things, require Enron to institute and maintain procedures to prevent disclosure of information to such competing ventures.</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3"/>
              </w:numPr>
              <w:jc w:val="both"/>
              <w:rPr>
                <w:sz w:val="22"/>
              </w:rPr>
            </w:pPr>
            <w:r>
              <w:rPr>
                <w:sz w:val="22"/>
              </w:rPr>
              <w:t>completion of due diligence investigations satisfactory to Enron;</w:t>
            </w:r>
          </w:p>
          <w:p>
            <w:pPr>
              <w:pStyle w:val="Normal"/>
              <w:numPr>
                <w:ilvl w:val="0"/>
                <w:numId w:val="3"/>
              </w:numPr>
              <w:jc w:val="both"/>
              <w:rPr>
                <w:sz w:val="22"/>
              </w:rPr>
            </w:pPr>
            <w:r>
              <w:rPr>
                <w:sz w:val="22"/>
              </w:rPr>
              <w:t xml:space="preserve">negotiation of Definitive Agreements to the satisfaction of each of the parties, with all Definitive Agreements in full force and effect; </w:t>
            </w:r>
          </w:p>
          <w:p>
            <w:pPr>
              <w:pStyle w:val="Normal"/>
              <w:numPr>
                <w:ilvl w:val="0"/>
                <w:numId w:val="3"/>
              </w:numPr>
              <w:jc w:val="both"/>
              <w:rPr>
                <w:sz w:val="22"/>
              </w:rPr>
            </w:pPr>
            <w:r>
              <w:rPr>
                <w:sz w:val="22"/>
              </w:rPr>
              <w:t>all representations and warranties in the Definitive Agreements shall be true and correct;</w:t>
            </w:r>
          </w:p>
          <w:p>
            <w:pPr>
              <w:pStyle w:val="Normal"/>
              <w:numPr>
                <w:ilvl w:val="0"/>
                <w:numId w:val="3"/>
              </w:numPr>
              <w:jc w:val="both"/>
              <w:rPr>
                <w:sz w:val="22"/>
              </w:rPr>
            </w:pPr>
            <w:r>
              <w:rPr>
                <w:sz w:val="22"/>
              </w:rPr>
              <w:t>there shall be no order, statute, law, regulation, etc. prohibiting the transactions contemplated by the Definitive Agreements;</w:t>
            </w:r>
          </w:p>
          <w:p>
            <w:pPr>
              <w:pStyle w:val="Normal"/>
              <w:numPr>
                <w:ilvl w:val="0"/>
                <w:numId w:val="3"/>
              </w:numPr>
              <w:jc w:val="both"/>
              <w:rPr>
                <w:sz w:val="22"/>
              </w:rPr>
            </w:pPr>
            <w:r>
              <w:rPr>
                <w:sz w:val="22"/>
              </w:rPr>
              <w:t xml:space="preserve">compliance with laws (including Hart-Scott-Rodino, if applicable); </w:t>
            </w:r>
          </w:p>
          <w:p>
            <w:pPr>
              <w:pStyle w:val="Normal"/>
              <w:numPr>
                <w:ilvl w:val="0"/>
                <w:numId w:val="3"/>
              </w:numPr>
              <w:jc w:val="both"/>
              <w:rPr>
                <w:sz w:val="22"/>
              </w:rPr>
            </w:pPr>
            <w:r>
              <w:rPr>
                <w:sz w:val="22"/>
              </w:rPr>
              <w:t>receipt of necessary consents and approvals; and</w:t>
            </w:r>
          </w:p>
          <w:p>
            <w:pPr>
              <w:pStyle w:val="Normal"/>
              <w:numPr>
                <w:ilvl w:val="0"/>
                <w:numId w:val="3"/>
              </w:numPr>
              <w:jc w:val="both"/>
              <w:rPr>
                <w:sz w:val="22"/>
              </w:rPr>
            </w:pPr>
            <w:r>
              <w:rPr>
                <w:sz w:val="22"/>
              </w:rPr>
              <w:t>receipt of customary legal opinions.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include a confidentiality agreement requiring each of Enron and the Company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Each of Enron and the Company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r>
        <w:br w:type="page"/>
      </w:r>
    </w:p>
    <w:p>
      <w:pPr>
        <w:pStyle w:val="Heading1"/>
        <w:ind w:hanging="0" w:start="0"/>
        <w:jc w:val="center"/>
        <w:rPr/>
      </w:pPr>
      <w:r>
        <w:rPr/>
        <w:t>SCHEDULE “A”</w:t>
      </w:r>
    </w:p>
    <w:p>
      <w:pPr>
        <w:pStyle w:val="Heading1"/>
        <w:ind w:hanging="0" w:start="0"/>
        <w:jc w:val="center"/>
        <w:rPr/>
      </w:pPr>
      <w:r>
        <w:rPr/>
        <w:t>HOUSTON STREET QUOTE LIST</w:t>
      </w:r>
    </w:p>
    <w:p>
      <w:pPr>
        <w:pStyle w:val="Normal"/>
        <w:rPr/>
      </w:pPr>
      <w:r>
        <w:rPr/>
      </w:r>
    </w:p>
    <w:p>
      <w:pPr>
        <w:pStyle w:val="Heading2"/>
        <w:ind w:hanging="0" w:start="0"/>
        <w:rPr>
          <w:sz w:val="24"/>
        </w:rPr>
      </w:pPr>
      <w:r>
        <w:rPr>
          <w:sz w:val="24"/>
        </w:rPr>
        <w:t>Power</w:t>
      </w:r>
    </w:p>
    <w:p>
      <w:pPr>
        <w:pStyle w:val="Normal"/>
        <w:rPr>
          <w:sz w:val="24"/>
        </w:rPr>
      </w:pPr>
      <w:r>
        <w:rPr>
          <w:sz w:val="24"/>
        </w:rPr>
      </w:r>
    </w:p>
    <w:p>
      <w:pPr>
        <w:pStyle w:val="Heading1"/>
        <w:ind w:hanging="0" w:start="0"/>
        <w:rPr/>
      </w:pPr>
      <w:r>
        <w:rPr/>
        <w:t>LOCATIONS</w:t>
      </w:r>
    </w:p>
    <w:p>
      <w:pPr>
        <w:pStyle w:val="Normal"/>
        <w:rPr/>
      </w:pPr>
      <w:r>
        <w:rPr/>
      </w:r>
    </w:p>
    <w:p>
      <w:pPr>
        <w:pStyle w:val="Normal"/>
        <w:rPr/>
      </w:pPr>
      <w:r>
        <w:rPr/>
        <w:t>East</w:t>
      </w:r>
    </w:p>
    <w:p>
      <w:pPr>
        <w:pStyle w:val="Normal"/>
        <w:ind w:firstLine="720" w:end="0"/>
        <w:rPr/>
      </w:pPr>
      <w:r>
        <w:rPr/>
        <w:t>CINERGY</w:t>
      </w:r>
    </w:p>
    <w:p>
      <w:pPr>
        <w:pStyle w:val="Normal"/>
        <w:ind w:firstLine="720" w:end="0"/>
        <w:rPr/>
      </w:pPr>
      <w:r>
        <w:rPr/>
        <w:t>NEPOOL</w:t>
      </w:r>
    </w:p>
    <w:p>
      <w:pPr>
        <w:pStyle w:val="Normal"/>
        <w:ind w:firstLine="720" w:end="0"/>
        <w:rPr/>
      </w:pPr>
      <w:r>
        <w:rPr/>
        <w:t>PJM-W</w:t>
      </w:r>
    </w:p>
    <w:p>
      <w:pPr>
        <w:pStyle w:val="Normal"/>
        <w:ind w:firstLine="720" w:end="0"/>
        <w:rPr/>
      </w:pPr>
      <w:r>
        <w:rPr/>
        <w:t>ENTERGY</w:t>
      </w:r>
    </w:p>
    <w:p>
      <w:pPr>
        <w:pStyle w:val="Normal"/>
        <w:ind w:firstLine="720" w:end="0"/>
        <w:rPr/>
      </w:pPr>
      <w:r>
        <w:rPr/>
        <w:t>TVA</w:t>
      </w:r>
    </w:p>
    <w:p>
      <w:pPr>
        <w:pStyle w:val="Normal"/>
        <w:rPr/>
      </w:pPr>
      <w:r>
        <w:rPr/>
      </w:r>
    </w:p>
    <w:p>
      <w:pPr>
        <w:pStyle w:val="Normal"/>
        <w:rPr/>
      </w:pPr>
      <w:r>
        <w:rPr/>
        <w:t>West</w:t>
      </w:r>
    </w:p>
    <w:p>
      <w:pPr>
        <w:pStyle w:val="Normal"/>
        <w:ind w:firstLine="720" w:end="0"/>
        <w:rPr/>
      </w:pPr>
      <w:r>
        <w:rPr/>
        <w:t>COB N/S</w:t>
      </w:r>
    </w:p>
    <w:p>
      <w:pPr>
        <w:pStyle w:val="Normal"/>
        <w:ind w:firstLine="720" w:end="0"/>
        <w:rPr/>
      </w:pPr>
      <w:r>
        <w:rPr/>
        <w:t>MID-C</w:t>
      </w:r>
    </w:p>
    <w:p>
      <w:pPr>
        <w:pStyle w:val="Normal"/>
        <w:ind w:firstLine="720" w:end="0"/>
        <w:rPr/>
      </w:pPr>
      <w:r>
        <w:rPr/>
        <w:t>CAISO NP-15</w:t>
      </w:r>
    </w:p>
    <w:p>
      <w:pPr>
        <w:pStyle w:val="Normal"/>
        <w:ind w:firstLine="720" w:end="0"/>
        <w:rPr/>
      </w:pPr>
      <w:r>
        <w:rPr/>
        <w:t>CAISO SP-15</w:t>
      </w:r>
    </w:p>
    <w:p>
      <w:pPr>
        <w:pStyle w:val="Normal"/>
        <w:ind w:firstLine="720" w:end="0"/>
        <w:rPr/>
      </w:pPr>
      <w:r>
        <w:rPr/>
        <w:t>PALO VERDE</w:t>
      </w:r>
    </w:p>
    <w:p>
      <w:pPr>
        <w:pStyle w:val="Normal"/>
        <w:rPr/>
      </w:pPr>
      <w:r>
        <w:rPr/>
      </w:r>
    </w:p>
    <w:p>
      <w:pPr>
        <w:pStyle w:val="Normal"/>
        <w:rPr>
          <w:b/>
          <w:u w:val="single"/>
        </w:rPr>
      </w:pPr>
      <w:r>
        <w:rPr>
          <w:b/>
          <w:u w:val="single"/>
        </w:rPr>
        <w:t>INSTRUMENT</w:t>
      </w:r>
    </w:p>
    <w:p>
      <w:pPr>
        <w:pStyle w:val="Normal"/>
        <w:rPr>
          <w:b/>
          <w:u w:val="single"/>
        </w:rPr>
      </w:pPr>
      <w:r>
        <w:rPr>
          <w:b/>
          <w:u w:val="single"/>
        </w:rPr>
      </w:r>
    </w:p>
    <w:p>
      <w:pPr>
        <w:pStyle w:val="Normal"/>
        <w:rPr/>
      </w:pPr>
      <w:r>
        <w:rPr/>
        <w:t>Peak, Physical</w:t>
      </w:r>
    </w:p>
    <w:p>
      <w:pPr>
        <w:pStyle w:val="Normal"/>
        <w:rPr/>
      </w:pPr>
      <w:r>
        <w:rPr/>
      </w:r>
    </w:p>
    <w:p>
      <w:pPr>
        <w:pStyle w:val="Heading1"/>
        <w:ind w:hanging="0" w:start="0"/>
        <w:rPr/>
      </w:pPr>
      <w:r>
        <w:rPr/>
        <w:t>TERMS</w:t>
      </w:r>
    </w:p>
    <w:p>
      <w:pPr>
        <w:pStyle w:val="Normal"/>
        <w:rPr/>
      </w:pPr>
      <w:r>
        <w:rPr/>
      </w:r>
    </w:p>
    <w:p>
      <w:pPr>
        <w:pStyle w:val="Normal"/>
        <w:rPr/>
      </w:pPr>
      <w:r>
        <w:rPr/>
        <w:t>Next Day</w:t>
      </w:r>
    </w:p>
    <w:p>
      <w:pPr>
        <w:pStyle w:val="Normal"/>
        <w:rPr/>
      </w:pPr>
      <w:r>
        <w:rPr/>
        <w:t>Balance Week</w:t>
      </w:r>
    </w:p>
    <w:p>
      <w:pPr>
        <w:pStyle w:val="Normal"/>
        <w:rPr/>
      </w:pPr>
      <w:r>
        <w:rPr/>
        <w:t>Next Week</w:t>
      </w:r>
    </w:p>
    <w:p>
      <w:pPr>
        <w:pStyle w:val="Normal"/>
        <w:rPr/>
      </w:pPr>
      <w:r>
        <w:rPr/>
        <w:t>Prompt month</w:t>
      </w:r>
    </w:p>
    <w:p>
      <w:pPr>
        <w:pStyle w:val="Heading4"/>
        <w:ind w:hanging="0" w:start="0"/>
        <w:rPr>
          <w:u w:val="none"/>
        </w:rPr>
      </w:pPr>
      <w:r>
        <w:rPr>
          <w:u w:val="none"/>
        </w:rPr>
        <w:t>Balance of month</w:t>
      </w:r>
    </w:p>
    <w:p>
      <w:pPr>
        <w:pStyle w:val="Normal"/>
        <w:rPr/>
      </w:pPr>
      <w:r>
        <w:rPr/>
        <w:t>Others terms at Enron’s option</w:t>
      </w:r>
    </w:p>
    <w:p>
      <w:pPr>
        <w:pStyle w:val="Normal"/>
        <w:rPr/>
      </w:pPr>
      <w:r>
        <w:rPr/>
      </w:r>
    </w:p>
    <w:p>
      <w:pPr>
        <w:pStyle w:val="Heading2"/>
        <w:ind w:hanging="0" w:start="0"/>
        <w:rPr>
          <w:b/>
          <w:bCs/>
          <w:sz w:val="24"/>
        </w:rPr>
      </w:pPr>
      <w:r>
        <w:rPr>
          <w:b/>
          <w:bCs/>
          <w:sz w:val="24"/>
        </w:rPr>
        <w:t>Natural Gas</w:t>
      </w:r>
    </w:p>
    <w:p>
      <w:pPr>
        <w:pStyle w:val="Normal"/>
        <w:rPr>
          <w:b/>
          <w:bCs/>
          <w:sz w:val="24"/>
        </w:rPr>
      </w:pPr>
      <w:r>
        <w:rPr>
          <w:b/>
          <w:bCs/>
          <w:sz w:val="24"/>
        </w:rPr>
      </w:r>
    </w:p>
    <w:p>
      <w:pPr>
        <w:pStyle w:val="Heading1"/>
        <w:ind w:hanging="0" w:start="0"/>
        <w:rPr/>
      </w:pPr>
      <w:r>
        <w:rPr/>
        <w:t>LOCATIONS</w:t>
      </w:r>
    </w:p>
    <w:p>
      <w:pPr>
        <w:pStyle w:val="Normal"/>
        <w:rPr/>
      </w:pPr>
      <w:r>
        <w:rPr/>
      </w:r>
    </w:p>
    <w:p>
      <w:pPr>
        <w:pStyle w:val="Normal"/>
        <w:rPr/>
      </w:pPr>
      <w:r>
        <w:rPr/>
        <w:t>HENRY HUB</w:t>
      </w:r>
    </w:p>
    <w:p>
      <w:pPr>
        <w:pStyle w:val="Normal"/>
        <w:rPr/>
      </w:pPr>
      <w:r>
        <w:rPr/>
        <w:tab/>
        <w:t>Physical</w:t>
      </w:r>
    </w:p>
    <w:p>
      <w:pPr>
        <w:pStyle w:val="Normal"/>
        <w:rPr/>
      </w:pPr>
      <w:r>
        <w:rPr/>
        <w:t xml:space="preserve"> </w:t>
      </w:r>
      <w:r>
        <w:rPr/>
        <w:tab/>
        <w:t>Financial</w:t>
      </w:r>
    </w:p>
    <w:p>
      <w:pPr>
        <w:pStyle w:val="Normal"/>
        <w:rPr/>
      </w:pPr>
      <w:r>
        <w:rPr/>
        <w:t>NYMEX</w:t>
      </w:r>
    </w:p>
    <w:p>
      <w:pPr>
        <w:pStyle w:val="Normal"/>
        <w:rPr/>
      </w:pPr>
      <w:r>
        <w:rPr/>
        <w:tab/>
        <w:t>Financial</w:t>
      </w:r>
    </w:p>
    <w:p>
      <w:pPr>
        <w:pStyle w:val="Normal"/>
        <w:rPr/>
      </w:pPr>
      <w:r>
        <w:rPr/>
        <w:t>TENN. LA</w:t>
      </w:r>
    </w:p>
    <w:p>
      <w:pPr>
        <w:pStyle w:val="Normal"/>
        <w:rPr/>
      </w:pPr>
      <w:r>
        <w:rPr/>
        <w:tab/>
        <w:t>Physical</w:t>
      </w:r>
    </w:p>
    <w:p>
      <w:pPr>
        <w:pStyle w:val="Normal"/>
        <w:rPr/>
      </w:pPr>
      <w:r>
        <w:rPr/>
        <w:tab/>
        <w:t>Financial</w:t>
      </w:r>
    </w:p>
    <w:p>
      <w:pPr>
        <w:pStyle w:val="Normal"/>
        <w:rPr/>
      </w:pPr>
      <w:r>
        <w:rPr/>
        <w:t>TETCO ELA</w:t>
      </w:r>
    </w:p>
    <w:p>
      <w:pPr>
        <w:pStyle w:val="Normal"/>
        <w:rPr/>
      </w:pPr>
      <w:r>
        <w:rPr/>
        <w:tab/>
        <w:t>Physical</w:t>
      </w:r>
    </w:p>
    <w:p>
      <w:pPr>
        <w:pStyle w:val="Normal"/>
        <w:rPr/>
      </w:pPr>
      <w:r>
        <w:rPr/>
        <w:tab/>
        <w:t>Financial</w:t>
      </w:r>
    </w:p>
    <w:p>
      <w:pPr>
        <w:pStyle w:val="Normal"/>
        <w:rPr/>
      </w:pPr>
      <w:r>
        <w:rPr/>
        <w:t>TRANSCO ST. 65</w:t>
      </w:r>
    </w:p>
    <w:p>
      <w:pPr>
        <w:pStyle w:val="Normal"/>
        <w:rPr/>
      </w:pPr>
      <w:r>
        <w:rPr/>
        <w:tab/>
        <w:t>Physical</w:t>
      </w:r>
    </w:p>
    <w:p>
      <w:pPr>
        <w:pStyle w:val="Normal"/>
        <w:rPr/>
      </w:pPr>
      <w:r>
        <w:rPr/>
        <w:tab/>
        <w:t>Financial</w:t>
      </w:r>
    </w:p>
    <w:p>
      <w:pPr>
        <w:pStyle w:val="Normal"/>
        <w:rPr/>
      </w:pPr>
      <w:r>
        <w:rPr/>
        <w:t>CHICAGO</w:t>
      </w:r>
    </w:p>
    <w:p>
      <w:pPr>
        <w:pStyle w:val="Normal"/>
        <w:rPr/>
      </w:pPr>
      <w:r>
        <w:rPr/>
        <w:tab/>
        <w:t>Physical</w:t>
      </w:r>
    </w:p>
    <w:p>
      <w:pPr>
        <w:pStyle w:val="Normal"/>
        <w:rPr/>
      </w:pPr>
      <w:r>
        <w:rPr/>
        <w:tab/>
        <w:t>Financial</w:t>
      </w:r>
    </w:p>
    <w:p>
      <w:pPr>
        <w:pStyle w:val="Normal"/>
        <w:rPr/>
      </w:pPr>
      <w:r>
        <w:rPr/>
        <w:t>TCO POOL</w:t>
      </w:r>
    </w:p>
    <w:p>
      <w:pPr>
        <w:pStyle w:val="Normal"/>
        <w:rPr/>
      </w:pPr>
      <w:r>
        <w:rPr/>
        <w:tab/>
        <w:t>Physical</w:t>
      </w:r>
    </w:p>
    <w:p>
      <w:pPr>
        <w:pStyle w:val="Normal"/>
        <w:rPr/>
      </w:pPr>
      <w:r>
        <w:rPr/>
        <w:tab/>
        <w:t>Financial</w:t>
      </w:r>
    </w:p>
    <w:p>
      <w:pPr>
        <w:pStyle w:val="Normal"/>
        <w:rPr/>
      </w:pPr>
      <w:r>
        <w:rPr/>
        <w:t>TRANSCO Z6</w:t>
      </w:r>
    </w:p>
    <w:p>
      <w:pPr>
        <w:pStyle w:val="Normal"/>
        <w:rPr/>
      </w:pPr>
      <w:r>
        <w:rPr/>
        <w:tab/>
        <w:t>Physical</w:t>
      </w:r>
    </w:p>
    <w:p>
      <w:pPr>
        <w:pStyle w:val="Normal"/>
        <w:rPr/>
      </w:pPr>
      <w:r>
        <w:rPr/>
        <w:tab/>
        <w:t>Financial</w:t>
      </w:r>
    </w:p>
    <w:p>
      <w:pPr>
        <w:pStyle w:val="Normal"/>
        <w:rPr/>
      </w:pPr>
      <w:r>
        <w:rPr/>
        <w:t>PEPL</w:t>
      </w:r>
    </w:p>
    <w:p>
      <w:pPr>
        <w:pStyle w:val="Normal"/>
        <w:rPr/>
      </w:pPr>
      <w:r>
        <w:rPr/>
        <w:tab/>
        <w:t>Physical</w:t>
      </w:r>
    </w:p>
    <w:p>
      <w:pPr>
        <w:pStyle w:val="Normal"/>
        <w:rPr/>
      </w:pPr>
      <w:r>
        <w:rPr/>
        <w:tab/>
        <w:t>Financial</w:t>
      </w:r>
    </w:p>
    <w:p>
      <w:pPr>
        <w:pStyle w:val="Normal"/>
        <w:rPr/>
      </w:pPr>
      <w:r>
        <w:rPr/>
      </w:r>
    </w:p>
    <w:p>
      <w:pPr>
        <w:pStyle w:val="Normal"/>
        <w:rPr/>
      </w:pPr>
      <w:r>
        <w:rPr/>
        <w:t>ELP SANJUAN</w:t>
      </w:r>
    </w:p>
    <w:p>
      <w:pPr>
        <w:pStyle w:val="Normal"/>
        <w:rPr/>
      </w:pPr>
      <w:r>
        <w:rPr/>
        <w:tab/>
        <w:t>Physical</w:t>
      </w:r>
    </w:p>
    <w:p>
      <w:pPr>
        <w:pStyle w:val="Normal"/>
        <w:rPr/>
      </w:pPr>
      <w:r>
        <w:rPr/>
        <w:tab/>
        <w:t>Financial</w:t>
      </w:r>
    </w:p>
    <w:p>
      <w:pPr>
        <w:pStyle w:val="Normal"/>
        <w:rPr/>
      </w:pPr>
      <w:r>
        <w:rPr/>
        <w:t>NWPL ROCKIES</w:t>
      </w:r>
    </w:p>
    <w:p>
      <w:pPr>
        <w:pStyle w:val="Normal"/>
        <w:rPr/>
      </w:pPr>
      <w:r>
        <w:rPr/>
        <w:tab/>
        <w:t>Physical</w:t>
      </w:r>
    </w:p>
    <w:p>
      <w:pPr>
        <w:pStyle w:val="Normal"/>
        <w:rPr/>
      </w:pPr>
      <w:r>
        <w:rPr/>
        <w:tab/>
        <w:t>Financial</w:t>
      </w:r>
    </w:p>
    <w:p>
      <w:pPr>
        <w:pStyle w:val="Normal"/>
        <w:rPr/>
      </w:pPr>
      <w:r>
        <w:rPr/>
        <w:t>SOCAL</w:t>
      </w:r>
    </w:p>
    <w:p>
      <w:pPr>
        <w:pStyle w:val="Normal"/>
        <w:rPr/>
      </w:pPr>
      <w:r>
        <w:rPr/>
        <w:tab/>
        <w:t>Physical</w:t>
      </w:r>
    </w:p>
    <w:p>
      <w:pPr>
        <w:pStyle w:val="Normal"/>
        <w:rPr/>
      </w:pPr>
      <w:r>
        <w:rPr/>
        <w:tab/>
        <w:t>Financial</w:t>
      </w:r>
    </w:p>
    <w:p>
      <w:pPr>
        <w:pStyle w:val="Normal"/>
        <w:rPr/>
      </w:pPr>
      <w:r>
        <w:rPr/>
        <w:t>EXXON KATY</w:t>
      </w:r>
    </w:p>
    <w:p>
      <w:pPr>
        <w:pStyle w:val="Normal"/>
        <w:rPr/>
      </w:pPr>
      <w:r>
        <w:rPr/>
        <w:tab/>
        <w:t>Physical</w:t>
      </w:r>
    </w:p>
    <w:p>
      <w:pPr>
        <w:pStyle w:val="Normal"/>
        <w:rPr/>
      </w:pPr>
      <w:r>
        <w:rPr/>
        <w:t>HOUSTON SHIP CHANNEL</w:t>
      </w:r>
    </w:p>
    <w:p>
      <w:pPr>
        <w:pStyle w:val="Normal"/>
        <w:rPr/>
      </w:pPr>
      <w:r>
        <w:rPr/>
        <w:tab/>
        <w:t>Financial</w:t>
      </w:r>
    </w:p>
    <w:p>
      <w:pPr>
        <w:pStyle w:val="Normal"/>
        <w:rPr/>
      </w:pPr>
      <w:r>
        <w:rPr/>
        <w:t>MICHCON</w:t>
      </w:r>
    </w:p>
    <w:p>
      <w:pPr>
        <w:pStyle w:val="Normal"/>
        <w:rPr/>
      </w:pPr>
      <w:r>
        <w:rPr/>
        <w:tab/>
        <w:t>Physical</w:t>
      </w:r>
    </w:p>
    <w:p>
      <w:pPr>
        <w:pStyle w:val="Normal"/>
        <w:rPr/>
      </w:pPr>
      <w:r>
        <w:rPr/>
        <w:tab/>
        <w:t>Financial</w:t>
      </w:r>
    </w:p>
    <w:p>
      <w:pPr>
        <w:pStyle w:val="Normal"/>
        <w:rPr/>
      </w:pPr>
      <w:r>
        <w:rPr/>
        <w:t>EL PASO PERMIAN</w:t>
      </w:r>
    </w:p>
    <w:p>
      <w:pPr>
        <w:pStyle w:val="Normal"/>
        <w:rPr/>
      </w:pPr>
      <w:r>
        <w:rPr/>
        <w:tab/>
        <w:t>Physical</w:t>
      </w:r>
    </w:p>
    <w:p>
      <w:pPr>
        <w:pStyle w:val="Normal"/>
        <w:rPr/>
      </w:pPr>
      <w:r>
        <w:rPr/>
        <w:tab/>
        <w:t>Financial</w:t>
      </w:r>
    </w:p>
    <w:p>
      <w:pPr>
        <w:pStyle w:val="Normal"/>
        <w:rPr/>
      </w:pPr>
      <w:r>
        <w:rPr/>
        <w:t>COLUMBIA GULF ONSHORE</w:t>
      </w:r>
    </w:p>
    <w:p>
      <w:pPr>
        <w:pStyle w:val="Normal"/>
        <w:rPr/>
      </w:pPr>
      <w:r>
        <w:rPr/>
        <w:tab/>
        <w:t>Physical</w:t>
      </w:r>
    </w:p>
    <w:p>
      <w:pPr>
        <w:pStyle w:val="Normal"/>
        <w:rPr/>
      </w:pPr>
      <w:r>
        <w:rPr/>
        <w:tab/>
        <w:t>Financial</w:t>
      </w:r>
    </w:p>
    <w:p>
      <w:pPr>
        <w:pStyle w:val="Normal"/>
        <w:rPr/>
      </w:pPr>
      <w:r>
        <w:rPr/>
      </w:r>
    </w:p>
    <w:p>
      <w:pPr>
        <w:pStyle w:val="Normal"/>
        <w:rPr>
          <w:b/>
          <w:u w:val="single"/>
        </w:rPr>
      </w:pPr>
      <w:r>
        <w:rPr>
          <w:b/>
          <w:u w:val="single"/>
        </w:rPr>
        <w:t>INSTRUMENT/PRODUCTS (where applicable)</w:t>
      </w:r>
    </w:p>
    <w:p>
      <w:pPr>
        <w:pStyle w:val="Normal"/>
        <w:rPr>
          <w:b/>
          <w:u w:val="single"/>
        </w:rPr>
      </w:pPr>
      <w:r>
        <w:rPr>
          <w:b/>
          <w:u w:val="single"/>
        </w:rPr>
      </w:r>
    </w:p>
    <w:p>
      <w:pPr>
        <w:pStyle w:val="Normal"/>
        <w:rPr/>
      </w:pPr>
      <w:r>
        <w:rPr/>
        <w:t>Physical</w:t>
      </w:r>
    </w:p>
    <w:p>
      <w:pPr>
        <w:pStyle w:val="Normal"/>
        <w:ind w:firstLine="720" w:end="0"/>
        <w:rPr/>
      </w:pPr>
      <w:r>
        <w:rPr/>
        <w:t>Fixed price physical</w:t>
      </w:r>
    </w:p>
    <w:p>
      <w:pPr>
        <w:pStyle w:val="Normal"/>
        <w:rPr/>
      </w:pPr>
      <w:r>
        <w:rPr/>
        <w:tab/>
        <w:t>Index physical</w:t>
      </w:r>
    </w:p>
    <w:p>
      <w:pPr>
        <w:pStyle w:val="Normal"/>
        <w:rPr/>
      </w:pPr>
      <w:r>
        <w:rPr/>
        <w:t>Financial</w:t>
      </w:r>
    </w:p>
    <w:p>
      <w:pPr>
        <w:pStyle w:val="Normal"/>
        <w:rPr/>
      </w:pPr>
      <w:r>
        <w:rPr/>
        <w:tab/>
        <w:t>Financial basis</w:t>
      </w:r>
    </w:p>
    <w:p>
      <w:pPr>
        <w:pStyle w:val="Normal"/>
        <w:ind w:firstLine="720" w:end="0"/>
        <w:rPr/>
      </w:pPr>
      <w:r>
        <w:rPr/>
        <w:t>Fixed price financial</w:t>
      </w:r>
    </w:p>
    <w:p>
      <w:pPr>
        <w:pStyle w:val="Normal"/>
        <w:rPr/>
      </w:pPr>
      <w:r>
        <w:rPr/>
        <w:t xml:space="preserve">               </w:t>
      </w:r>
      <w:r>
        <w:rPr/>
        <w:tab/>
        <w:t xml:space="preserve"> -Index</w:t>
      </w:r>
    </w:p>
    <w:p>
      <w:pPr>
        <w:pStyle w:val="Normal"/>
        <w:rPr/>
      </w:pPr>
      <w:r>
        <w:rPr/>
        <w:tab/>
        <w:t xml:space="preserve"> </w:t>
        <w:tab/>
        <w:t xml:space="preserve">-Gas Daily </w:t>
      </w:r>
    </w:p>
    <w:p>
      <w:pPr>
        <w:pStyle w:val="Normal"/>
        <w:rPr/>
      </w:pPr>
      <w:r>
        <w:rPr/>
        <w:tab/>
      </w:r>
    </w:p>
    <w:p>
      <w:pPr>
        <w:pStyle w:val="Normal"/>
        <w:rPr/>
      </w:pPr>
      <w:r>
        <w:rPr/>
      </w:r>
    </w:p>
    <w:p>
      <w:pPr>
        <w:pStyle w:val="Normal"/>
        <w:rPr>
          <w:b/>
          <w:u w:val="single"/>
        </w:rPr>
      </w:pPr>
      <w:r>
        <w:rPr>
          <w:b/>
          <w:u w:val="single"/>
        </w:rPr>
        <w:t>TERMS(where applicable)</w:t>
      </w:r>
    </w:p>
    <w:p>
      <w:pPr>
        <w:pStyle w:val="Normal"/>
        <w:rPr/>
      </w:pPr>
      <w:r>
        <w:rPr/>
        <w:t>Physical</w:t>
      </w:r>
    </w:p>
    <w:p>
      <w:pPr>
        <w:pStyle w:val="Normal"/>
        <w:ind w:firstLine="720" w:end="0"/>
        <w:rPr/>
      </w:pPr>
      <w:r>
        <w:rPr/>
        <w:t>-Next day</w:t>
      </w:r>
    </w:p>
    <w:p>
      <w:pPr>
        <w:pStyle w:val="Normal"/>
        <w:ind w:firstLine="720" w:end="0"/>
        <w:rPr/>
      </w:pPr>
      <w:r>
        <w:rPr/>
        <w:t>-Prompt month</w:t>
      </w:r>
    </w:p>
    <w:p>
      <w:pPr>
        <w:pStyle w:val="Normal"/>
        <w:ind w:firstLine="720" w:end="0"/>
        <w:rPr/>
      </w:pPr>
      <w:r>
        <w:rPr/>
        <w:t>-Others terms at Enron’s option</w:t>
      </w:r>
    </w:p>
    <w:p>
      <w:pPr>
        <w:pStyle w:val="Normal"/>
        <w:rPr/>
      </w:pPr>
      <w:r>
        <w:rPr/>
        <w:t>Financial</w:t>
      </w:r>
    </w:p>
    <w:p>
      <w:pPr>
        <w:pStyle w:val="Normal"/>
        <w:rPr/>
      </w:pPr>
      <w:r>
        <w:rPr/>
        <w:tab/>
        <w:t>-Balance month</w:t>
      </w:r>
    </w:p>
    <w:p>
      <w:pPr>
        <w:pStyle w:val="Normal"/>
        <w:rPr/>
      </w:pPr>
      <w:r>
        <w:rPr/>
        <w:tab/>
        <w:t>-Prompt month</w:t>
      </w:r>
    </w:p>
    <w:p>
      <w:pPr>
        <w:pStyle w:val="Normal"/>
        <w:rPr/>
      </w:pPr>
      <w:r>
        <w:rPr/>
        <w:tab/>
        <w:t>-first nearby seasonal block</w:t>
      </w:r>
    </w:p>
    <w:p>
      <w:pPr>
        <w:pStyle w:val="Normal"/>
        <w:ind w:firstLine="720" w:end="0"/>
        <w:rPr/>
      </w:pPr>
      <w:r>
        <w:rPr/>
        <w:t>-Others terms at Enron’s option</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outlineLvl w:val="3"/>
    </w:pPr>
    <w:rPr>
      <w:u w:val="single"/>
    </w:rPr>
  </w:style>
  <w:style w:type="character" w:styleId="WW8Num1z0">
    <w:name w:val="WW8Num1z0"/>
    <w:qFormat/>
    <w:rPr>
      <w:rFonts w:ascii="Wingdings" w:hAnsi="Wingdings" w:cs="Wingdings"/>
      <w:sz w:val="24"/>
    </w:rPr>
  </w:style>
  <w:style w:type="character" w:styleId="WW8Num2z0">
    <w:name w:val="WW8Num2z0"/>
    <w:qFormat/>
    <w:rPr>
      <w:rFonts w:ascii="Wingdings" w:hAnsi="Wingdings" w:cs="Wingdings"/>
      <w:sz w:val="24"/>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2000-06-06T19:08:00Z</dcterms:created>
  <dc:creator>tmccull</dc:creator>
  <dc:description/>
  <dc:language>en-CA</dc:language>
  <cp:lastModifiedBy>Travis McCullough</cp:lastModifiedBy>
  <cp:lastPrinted>2000-06-02T16:03:00Z</cp:lastPrinted>
  <dcterms:modified xsi:type="dcterms:W3CDTF">2000-06-06T19:10:00Z</dcterms:modified>
  <cp:revision>3</cp:revision>
  <dc:subject/>
  <dc:title>ATTACHMENT “A”</dc:title>
</cp:coreProperties>
</file>