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rFonts w:eastAsia="Arial"/>
          <w:sz w:val="20"/>
        </w:rPr>
        <w:t xml:space="preserve">      </w:t>
      </w: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rFonts w:ascii="Arial Black" w:hAnsi="Arial Black" w:cs="Arial Black"/>
          <w:sz w:val="16"/>
        </w:rPr>
      </w:pPr>
      <w:r>
        <w:rPr>
          <w:rFonts w:cs="Arial Black" w:ascii="Arial Black" w:hAnsi="Arial Black"/>
          <w:sz w:val="16"/>
        </w:rPr>
        <w:t>Natural Gas</w:t>
      </w:r>
    </w:p>
    <w:p>
      <w:pPr>
        <w:pStyle w:val="Heading"/>
        <w:rPr>
          <w:rFonts w:ascii="Arial Black" w:hAnsi="Arial Black" w:cs="Arial Black"/>
          <w:sz w:val="16"/>
        </w:rPr>
      </w:pPr>
      <w:r>
        <w:rPr>
          <w:rFonts w:cs="Arial Black" w:ascii="Arial Black" w:hAnsi="Arial Black"/>
          <w:sz w:val="16"/>
        </w:rPr>
        <w:t>Electricity and</w:t>
      </w:r>
    </w:p>
    <w:p>
      <w:pPr>
        <w:pStyle w:val="Normal"/>
        <w:rPr>
          <w:b/>
          <w:sz w:val="32"/>
          <w:u w:val="single"/>
        </w:rPr>
      </w:pPr>
      <w:r>
        <w:rPr>
          <w:rFonts w:cs="Arial Black" w:ascii="Arial Black" w:hAnsi="Arial Black"/>
          <w:b/>
          <w:sz w:val="16"/>
        </w:rPr>
        <w:t>Endless Possibilities</w:t>
        <w:tab/>
        <w:tab/>
        <w:tab/>
        <w:tab/>
        <w:tab/>
        <w:tab/>
        <w:tab/>
      </w:r>
    </w:p>
    <w:p>
      <w:pPr>
        <w:pStyle w:val="Normal"/>
        <w:ind w:start="6390" w:end="0"/>
        <w:rPr>
          <w:b/>
          <w:sz w:val="20"/>
          <w:u w:val="single"/>
        </w:rPr>
      </w:pPr>
      <w:r>
        <w:rPr>
          <w:b/>
          <w:sz w:val="20"/>
          <w:u w:val="single"/>
        </w:rPr>
      </w:r>
    </w:p>
    <w:tbl>
      <w:tblPr>
        <w:tblW w:w="9828" w:type="dxa"/>
        <w:jc w:val="start"/>
        <w:tblInd w:w="0" w:type="dxa"/>
        <w:tblLayout w:type="fixed"/>
        <w:tblCellMar>
          <w:top w:w="0" w:type="dxa"/>
          <w:start w:w="108" w:type="dxa"/>
          <w:bottom w:w="0" w:type="dxa"/>
          <w:end w:w="108" w:type="dxa"/>
        </w:tblCellMar>
      </w:tblPr>
      <w:tblGrid>
        <w:gridCol w:w="1569"/>
        <w:gridCol w:w="3762"/>
        <w:gridCol w:w="1887"/>
        <w:gridCol w:w="261"/>
        <w:gridCol w:w="2169"/>
        <w:gridCol w:w="180"/>
      </w:tblGrid>
      <w:tr>
        <w:trPr/>
        <w:tc>
          <w:tcPr>
            <w:tcW w:w="1569" w:type="dxa"/>
            <w:tcBorders/>
          </w:tcPr>
          <w:p>
            <w:pPr>
              <w:pStyle w:val="Normal"/>
              <w:rPr>
                <w:b/>
              </w:rPr>
            </w:pPr>
            <w:r>
              <w:rPr>
                <w:b/>
              </w:rPr>
              <w:t>TO:</w:t>
            </w:r>
          </w:p>
        </w:tc>
        <w:tc>
          <w:tcPr>
            <w:tcW w:w="3762" w:type="dxa"/>
            <w:tcBorders/>
          </w:tcPr>
          <w:p>
            <w:pPr>
              <w:pStyle w:val="Normal"/>
              <w:rPr/>
            </w:pPr>
            <w:r>
              <w:rPr/>
              <w:t>Mark Haedicke</w:t>
            </w:r>
          </w:p>
          <w:p>
            <w:pPr>
              <w:pStyle w:val="Normal"/>
              <w:rPr/>
            </w:pPr>
            <w:r>
              <w:rPr/>
              <w:t>Julia Heintz Murray</w:t>
            </w:r>
          </w:p>
          <w:p>
            <w:pPr>
              <w:pStyle w:val="Normal"/>
              <w:rPr/>
            </w:pPr>
            <w:r>
              <w:rPr/>
              <w:t>Louise Kitchen</w:t>
            </w:r>
          </w:p>
          <w:p>
            <w:pPr>
              <w:pStyle w:val="Normal"/>
              <w:rPr/>
            </w:pPr>
            <w:r>
              <w:rPr/>
              <w:t>Andy Zipper</w:t>
            </w:r>
          </w:p>
          <w:p>
            <w:pPr>
              <w:pStyle w:val="Normal"/>
              <w:rPr/>
            </w:pPr>
            <w:r>
              <w:rPr/>
              <w:t>David Gorte</w:t>
            </w:r>
          </w:p>
          <w:p>
            <w:pPr>
              <w:pStyle w:val="Normal"/>
              <w:rPr/>
            </w:pPr>
            <w:r>
              <w:rPr/>
            </w:r>
          </w:p>
        </w:tc>
        <w:tc>
          <w:tcPr>
            <w:tcW w:w="2148" w:type="dxa"/>
            <w:gridSpan w:val="2"/>
            <w:tcBorders/>
          </w:tcPr>
          <w:p>
            <w:pPr>
              <w:pStyle w:val="Normal"/>
              <w:snapToGrid w:val="false"/>
              <w:rPr/>
            </w:pPr>
            <w:r>
              <w:rPr/>
            </w:r>
          </w:p>
        </w:tc>
        <w:tc>
          <w:tcPr>
            <w:tcW w:w="2169" w:type="dxa"/>
            <w:tcBorders/>
          </w:tcPr>
          <w:p>
            <w:pPr>
              <w:pStyle w:val="Normal"/>
              <w:snapToGrid w:val="false"/>
              <w:rPr/>
            </w:pPr>
            <w:r>
              <w:rPr/>
            </w:r>
          </w:p>
        </w:tc>
        <w:tc>
          <w:tcPr>
            <w:tcW w:w="180" w:type="dxa"/>
            <w:tcBorders/>
            <w:tcMar>
              <w:start w:w="0" w:type="dxa"/>
              <w:end w:w="0" w:type="dxa"/>
            </w:tcMar>
          </w:tcPr>
          <w:p>
            <w:pPr>
              <w:pStyle w:val="Normal"/>
              <w:snapToGrid w:val="false"/>
              <w:rPr/>
            </w:pPr>
            <w:r>
              <w:rPr/>
            </w:r>
          </w:p>
        </w:tc>
      </w:tr>
      <w:tr>
        <w:trPr/>
        <w:tc>
          <w:tcPr>
            <w:tcW w:w="1569" w:type="dxa"/>
            <w:tcBorders/>
          </w:tcPr>
          <w:p>
            <w:pPr>
              <w:pStyle w:val="Normal"/>
              <w:rPr>
                <w:b/>
              </w:rPr>
            </w:pPr>
            <w:r>
              <w:rPr>
                <w:b/>
              </w:rPr>
              <w:t>FROM:</w:t>
            </w:r>
          </w:p>
        </w:tc>
        <w:tc>
          <w:tcPr>
            <w:tcW w:w="3762" w:type="dxa"/>
            <w:tcBorders/>
          </w:tcPr>
          <w:p>
            <w:pPr>
              <w:pStyle w:val="Normal"/>
              <w:rPr/>
            </w:pPr>
            <w:r>
              <w:rPr/>
              <w:t>Travis McCullough</w:t>
            </w:r>
          </w:p>
        </w:tc>
        <w:tc>
          <w:tcPr>
            <w:tcW w:w="2148" w:type="dxa"/>
            <w:gridSpan w:val="2"/>
            <w:tcBorders/>
          </w:tcPr>
          <w:p>
            <w:pPr>
              <w:pStyle w:val="Normal"/>
              <w:rPr>
                <w:b/>
              </w:rPr>
            </w:pPr>
            <w:r>
              <w:rPr>
                <w:b/>
              </w:rPr>
              <w:t>DEPARTMENT:</w:t>
            </w:r>
          </w:p>
        </w:tc>
        <w:tc>
          <w:tcPr>
            <w:tcW w:w="2169" w:type="dxa"/>
            <w:tcBorders/>
          </w:tcPr>
          <w:p>
            <w:pPr>
              <w:pStyle w:val="Normal"/>
              <w:rPr/>
            </w:pPr>
            <w:r>
              <w:rPr/>
              <w:t>ENA Legal</w:t>
            </w:r>
          </w:p>
        </w:tc>
        <w:tc>
          <w:tcPr>
            <w:tcW w:w="180" w:type="dxa"/>
            <w:tcBorders/>
            <w:tcMar>
              <w:start w:w="0" w:type="dxa"/>
              <w:end w:w="0" w:type="dxa"/>
            </w:tcMar>
          </w:tcPr>
          <w:p>
            <w:pPr>
              <w:pStyle w:val="Normal"/>
              <w:snapToGrid w:val="false"/>
              <w:rPr/>
            </w:pPr>
            <w:r>
              <w:rPr/>
            </w:r>
          </w:p>
        </w:tc>
      </w:tr>
      <w:tr>
        <w:trPr/>
        <w:tc>
          <w:tcPr>
            <w:tcW w:w="1569" w:type="dxa"/>
            <w:tcBorders/>
          </w:tcPr>
          <w:p>
            <w:pPr>
              <w:pStyle w:val="Normal"/>
              <w:snapToGrid w:val="false"/>
              <w:rPr>
                <w:b/>
              </w:rPr>
            </w:pPr>
            <w:r>
              <w:rPr>
                <w:b/>
              </w:rPr>
            </w:r>
          </w:p>
        </w:tc>
        <w:tc>
          <w:tcPr>
            <w:tcW w:w="3762" w:type="dxa"/>
            <w:tcBorders/>
          </w:tcPr>
          <w:p>
            <w:pPr>
              <w:pStyle w:val="Normal"/>
              <w:snapToGrid w:val="false"/>
              <w:rPr>
                <w:b/>
              </w:rPr>
            </w:pPr>
            <w:r>
              <w:rPr>
                <w:b/>
              </w:rPr>
            </w:r>
          </w:p>
        </w:tc>
        <w:tc>
          <w:tcPr>
            <w:tcW w:w="2148" w:type="dxa"/>
            <w:gridSpan w:val="2"/>
            <w:tcBorders/>
          </w:tcPr>
          <w:p>
            <w:pPr>
              <w:pStyle w:val="Normal"/>
              <w:snapToGrid w:val="false"/>
              <w:rPr>
                <w:b/>
              </w:rPr>
            </w:pPr>
            <w:r>
              <w:rPr>
                <w:b/>
              </w:rPr>
            </w:r>
          </w:p>
        </w:tc>
        <w:tc>
          <w:tcPr>
            <w:tcW w:w="2169" w:type="dxa"/>
            <w:tcBorders/>
          </w:tcPr>
          <w:p>
            <w:pPr>
              <w:pStyle w:val="Normal"/>
              <w:snapToGrid w:val="false"/>
              <w:rPr>
                <w:b/>
              </w:rPr>
            </w:pPr>
            <w:r>
              <w:rPr>
                <w:b/>
              </w:rPr>
            </w:r>
          </w:p>
        </w:tc>
        <w:tc>
          <w:tcPr>
            <w:tcW w:w="180" w:type="dxa"/>
            <w:tcBorders/>
            <w:tcMar>
              <w:start w:w="0" w:type="dxa"/>
              <w:end w:w="0" w:type="dxa"/>
            </w:tcMar>
          </w:tcPr>
          <w:p>
            <w:pPr>
              <w:pStyle w:val="Normal"/>
              <w:snapToGrid w:val="false"/>
              <w:rPr/>
            </w:pPr>
            <w:r>
              <w:rPr/>
            </w:r>
          </w:p>
        </w:tc>
      </w:tr>
      <w:tr>
        <w:trPr/>
        <w:tc>
          <w:tcPr>
            <w:tcW w:w="1569" w:type="dxa"/>
            <w:tcBorders>
              <w:bottom w:val="single" w:sz="18" w:space="0" w:color="000000"/>
            </w:tcBorders>
          </w:tcPr>
          <w:p>
            <w:pPr>
              <w:pStyle w:val="Normal"/>
              <w:rPr>
                <w:b/>
              </w:rPr>
            </w:pPr>
            <w:r>
              <w:rPr>
                <w:b/>
              </w:rPr>
              <w:t>SUBJECT:</w:t>
            </w:r>
          </w:p>
        </w:tc>
        <w:tc>
          <w:tcPr>
            <w:tcW w:w="3762" w:type="dxa"/>
            <w:tcBorders>
              <w:bottom w:val="single" w:sz="18" w:space="0" w:color="000000"/>
            </w:tcBorders>
          </w:tcPr>
          <w:p>
            <w:pPr>
              <w:pStyle w:val="Normal"/>
              <w:rPr/>
            </w:pPr>
            <w:r>
              <w:rPr/>
              <w:t>HoustonStreet Exchange, Inc. Equity Investment and</w:t>
            </w:r>
          </w:p>
          <w:p>
            <w:pPr>
              <w:pStyle w:val="Normal"/>
              <w:rPr/>
            </w:pPr>
            <w:r>
              <w:rPr/>
              <w:t>Price Posting Agreement</w:t>
            </w:r>
          </w:p>
          <w:p>
            <w:pPr>
              <w:pStyle w:val="Normal"/>
              <w:rPr/>
            </w:pPr>
            <w:r>
              <w:rPr/>
              <w:t>Legal Risk Memo</w:t>
            </w:r>
          </w:p>
          <w:p>
            <w:pPr>
              <w:pStyle w:val="Normal"/>
              <w:rPr/>
            </w:pPr>
            <w:r>
              <w:rPr/>
            </w:r>
          </w:p>
        </w:tc>
        <w:tc>
          <w:tcPr>
            <w:tcW w:w="1887" w:type="dxa"/>
            <w:tcBorders>
              <w:bottom w:val="single" w:sz="18" w:space="0" w:color="000000"/>
            </w:tcBorders>
          </w:tcPr>
          <w:p>
            <w:pPr>
              <w:pStyle w:val="Normal"/>
              <w:rPr>
                <w:b/>
              </w:rPr>
            </w:pPr>
            <w:r>
              <w:rPr>
                <w:b/>
              </w:rPr>
              <w:t>DATE:</w:t>
            </w:r>
          </w:p>
        </w:tc>
        <w:tc>
          <w:tcPr>
            <w:tcW w:w="2610" w:type="dxa"/>
            <w:gridSpan w:val="3"/>
            <w:tcBorders>
              <w:bottom w:val="single" w:sz="18" w:space="0" w:color="000000"/>
            </w:tcBorders>
          </w:tcPr>
          <w:p>
            <w:pPr>
              <w:pStyle w:val="Normal"/>
              <w:rPr/>
            </w:pPr>
            <w:r>
              <w:rPr/>
              <w:t>December 1, 2000</w:t>
            </w:r>
          </w:p>
          <w:p>
            <w:pPr>
              <w:pStyle w:val="Normal"/>
              <w:rPr/>
            </w:pPr>
            <w:r>
              <w:rPr/>
            </w:r>
          </w:p>
        </w:tc>
      </w:tr>
    </w:tbl>
    <w:p>
      <w:pPr>
        <w:pStyle w:val="Normal"/>
        <w:tabs>
          <w:tab w:val="left" w:pos="540" w:leader="none"/>
          <w:tab w:val="left" w:pos="1344" w:leader="none"/>
          <w:tab w:val="left" w:pos="5106" w:leader="none"/>
          <w:tab w:val="left" w:pos="7254" w:leader="none"/>
        </w:tabs>
        <w:jc w:val="both"/>
        <w:rPr/>
      </w:pPr>
      <w:r>
        <w:rPr/>
      </w:r>
    </w:p>
    <w:p>
      <w:pPr>
        <w:pStyle w:val="Normal"/>
        <w:tabs>
          <w:tab w:val="left" w:pos="540" w:leader="none"/>
          <w:tab w:val="left" w:pos="1344" w:leader="none"/>
          <w:tab w:val="left" w:pos="5106" w:leader="none"/>
          <w:tab w:val="left" w:pos="7254" w:leader="none"/>
        </w:tabs>
        <w:jc w:val="both"/>
        <w:rPr>
          <w:b/>
          <w:bCs/>
          <w:sz w:val="22"/>
        </w:rPr>
      </w:pPr>
      <w:r>
        <w:rPr>
          <w:b/>
          <w:bCs/>
          <w:sz w:val="22"/>
        </w:rPr>
      </w:r>
    </w:p>
    <w:p>
      <w:pPr>
        <w:pStyle w:val="Normal"/>
        <w:tabs>
          <w:tab w:val="left" w:pos="540" w:leader="none"/>
          <w:tab w:val="left" w:pos="1344" w:leader="none"/>
          <w:tab w:val="left" w:pos="5106" w:leader="none"/>
          <w:tab w:val="left" w:pos="7254" w:leader="none"/>
        </w:tabs>
        <w:jc w:val="both"/>
        <w:rPr>
          <w:b/>
          <w:bCs/>
          <w:sz w:val="22"/>
        </w:rPr>
      </w:pPr>
      <w:r>
        <w:rPr>
          <w:b/>
          <w:bCs/>
          <w:sz w:val="22"/>
        </w:rPr>
        <w:t>Legal Risk Rating = 1.5 (on a scale of 1 to 5, with 5 representing the greatest degree of risk)</w:t>
      </w:r>
    </w:p>
    <w:p>
      <w:pPr>
        <w:pStyle w:val="Normal"/>
        <w:tabs>
          <w:tab w:val="left" w:pos="540" w:leader="none"/>
          <w:tab w:val="left" w:pos="1344" w:leader="none"/>
          <w:tab w:val="left" w:pos="5106" w:leader="none"/>
          <w:tab w:val="left" w:pos="7254" w:leader="none"/>
        </w:tabs>
        <w:jc w:val="both"/>
        <w:rPr>
          <w:b/>
          <w:bCs/>
          <w:sz w:val="22"/>
        </w:rPr>
      </w:pPr>
      <w:r>
        <w:rPr>
          <w:b/>
          <w:bCs/>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HoustonStreet Exchange, Inc., a Delaware corporation ("HoustonStreet') is developing an internet-based electronic trading platform for energy commodities and derivative products.  On or about December 1, 2000, Enron Net Works LLC ("ENW") will acquire (i) 1,781,043 shares, or approximately 7%, of the outstanding common stock of HoustonStreet, (ii) the right to an additional 763,305 shares of HoustonStreet Common Stock based upon Enron's trading volume on the HoustonStreet platform (discussed below), and (iii) a warrant to acquire an additional 2,544,347 shares of HoustonStreet Common Stock (collectively, the "HoustonStreet Securities").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i/>
          <w:i/>
          <w:sz w:val="22"/>
        </w:rPr>
      </w:pPr>
      <w:r>
        <w:rPr>
          <w:sz w:val="22"/>
        </w:rPr>
        <w:t>In exchange for the HoustonStreet Securities, ENW is agreeing to provide HoustonStreet with Enron's prices for specified energy commodities and derivative products pursuant to a "Price Posting Agreement" for a period of two years.  HoustonStreet will display Enron's prices on HoustonStreet's trading platform and provide HoustonStreet's customers an opportunity to enter into transactions with Enron through the HoustonStreet trading platform.</w:t>
      </w:r>
    </w:p>
    <w:p>
      <w:pPr>
        <w:pStyle w:val="Normal"/>
        <w:tabs>
          <w:tab w:val="left" w:pos="540" w:leader="none"/>
          <w:tab w:val="left" w:pos="1344" w:leader="none"/>
          <w:tab w:val="left" w:pos="5106" w:leader="none"/>
          <w:tab w:val="left" w:pos="7254" w:leader="none"/>
        </w:tabs>
        <w:jc w:val="both"/>
        <w:rPr>
          <w:i/>
          <w:i/>
          <w:sz w:val="22"/>
        </w:rPr>
      </w:pPr>
      <w:r>
        <w:rPr>
          <w:i/>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The legal risks associated with this transaction are as follows.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pPr>
      <w:r>
        <w:rPr>
          <w:sz w:val="22"/>
        </w:rPr>
        <w:t>1.</w:t>
        <w:tab/>
      </w:r>
      <w:r>
        <w:rPr>
          <w:sz w:val="22"/>
          <w:u w:val="single"/>
        </w:rPr>
        <w:t>Mapping Errors and other Disputes</w:t>
      </w:r>
      <w:r>
        <w:rPr>
          <w:sz w:val="22"/>
        </w:rPr>
        <w:t>.  Enron will provide its prices for certain Enron products to HoustonStreet, but HoustonStreet will be responsible for matching Enron's prices for those products with the corresponding products that are offered on HoustonStreet's platform.  Errors by HoustonStreet in matching Enron's prices with HoustonStreet's products could result in HoustonStreet customers making offers with respect to a different product than the product that Enron posted a price for, and Enron accepting an offer for a different product than the product for which the HoustonStreet customer thought it was submitting an offer.  For example, assume HoustonStreet matches Enron's January gas price to HoustonStreet's February gas product; a HoustonStreet customer might submit an offer for February gas on HoustonStreet's site, but Enron would be unaware of the error and would receive the offer – and possibly accept it – on Enron's assumption that the offer was for January gas – the product for which Enron posted the price.  Simply by virtue of the fact that Enron will not have absolute control over HoustonStreet's handling of Enron's data, these and other errors may occur that could result in erroneous trades and resulting disputes between Enron and HoustonStreet's customers.</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HoustonStreet has agreed to indemnify Enron from losses resulting from these "mapping errors" and certain other disputes between Enron and customers; however, HoustonStreet may not be financially able to satisfy any indemnity claim.  Enron may also terminate the Posting Agreement in the event of chronic mapping errors or customer disputes.  </w:t>
      </w:r>
    </w:p>
    <w:p>
      <w:pPr>
        <w:pStyle w:val="Normal"/>
        <w:tabs>
          <w:tab w:val="left" w:pos="540" w:leader="none"/>
          <w:tab w:val="left" w:pos="1344" w:leader="none"/>
          <w:tab w:val="left" w:pos="5106" w:leader="none"/>
          <w:tab w:val="left" w:pos="7254" w:leader="none"/>
        </w:tabs>
        <w:jc w:val="both"/>
        <w:rPr>
          <w:rFonts w:eastAsia="Arial"/>
          <w:sz w:val="22"/>
        </w:rPr>
      </w:pPr>
      <w:r>
        <w:rPr>
          <w:rFonts w:eastAsia="Arial"/>
          <w:sz w:val="22"/>
        </w:rPr>
        <w:t xml:space="preserve"> </w:t>
      </w:r>
    </w:p>
    <w:p>
      <w:pPr>
        <w:pStyle w:val="Normal"/>
        <w:tabs>
          <w:tab w:val="left" w:pos="540" w:leader="none"/>
          <w:tab w:val="left" w:pos="1344" w:leader="none"/>
          <w:tab w:val="left" w:pos="5106" w:leader="none"/>
          <w:tab w:val="left" w:pos="7254" w:leader="none"/>
        </w:tabs>
        <w:jc w:val="both"/>
        <w:rPr/>
      </w:pPr>
      <w:r>
        <w:rPr>
          <w:sz w:val="22"/>
        </w:rPr>
        <w:t>2.</w:t>
        <w:tab/>
      </w:r>
      <w:r>
        <w:rPr>
          <w:sz w:val="22"/>
          <w:u w:val="single"/>
        </w:rPr>
        <w:t>Unanticipated Claims</w:t>
      </w:r>
      <w:r>
        <w:rPr>
          <w:sz w:val="22"/>
        </w:rPr>
        <w:t>.  ENW has no prior experience in providing its prices to multilateral electronic trading platforms on the basis contemplated by the Price Posting Agreement.  Certain provisions of the price posting agreement are quite complicated.  While we have attempted to address all potential issues that may arise in this relationship, It is possible that unanticipated situations may arise that are not clearly addressed by the Price Posting Agreement.  While HoustonStreet and Enron currently have incentives to resolve any unanticipated situation, this may not always be the case.</w:t>
      </w:r>
    </w:p>
    <w:p>
      <w:pPr>
        <w:pStyle w:val="Normal"/>
        <w:tabs>
          <w:tab w:val="left" w:pos="540" w:leader="none"/>
          <w:tab w:val="left" w:pos="1344" w:leader="none"/>
          <w:tab w:val="left" w:pos="5106" w:leader="none"/>
          <w:tab w:val="left" w:pos="7254" w:leader="none"/>
        </w:tabs>
        <w:jc w:val="both"/>
        <w:rPr>
          <w:sz w:val="22"/>
          <w:u w:val="single"/>
        </w:rPr>
      </w:pPr>
      <w:r>
        <w:rPr>
          <w:sz w:val="22"/>
          <w:u w:val="single"/>
        </w:rPr>
      </w:r>
    </w:p>
    <w:p>
      <w:pPr>
        <w:pStyle w:val="Normal"/>
        <w:tabs>
          <w:tab w:val="left" w:pos="540" w:leader="none"/>
          <w:tab w:val="left" w:pos="1344" w:leader="none"/>
          <w:tab w:val="left" w:pos="5106" w:leader="none"/>
          <w:tab w:val="left" w:pos="7254" w:leader="none"/>
        </w:tabs>
        <w:jc w:val="both"/>
        <w:rPr/>
      </w:pPr>
      <w:r>
        <w:rPr>
          <w:sz w:val="22"/>
        </w:rPr>
        <w:t>3.</w:t>
        <w:tab/>
      </w:r>
      <w:r>
        <w:rPr>
          <w:sz w:val="22"/>
          <w:u w:val="single"/>
        </w:rPr>
        <w:t>Regulatory matters</w:t>
      </w:r>
      <w:r>
        <w:rPr>
          <w:sz w:val="22"/>
        </w:rPr>
        <w:t xml:space="preserve">.  HoustonStreet is obligated to obtain a no-action letter from the CFTC (or other assurances satisfactory to Enron) with respect to regulatory implications of Enron's providing prices for its financial products to the HoustonStreet platform.  Enron will have no obligation to provide prices for derivative products to HoustonStreet until HoustonStreet provides such assurances.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pPr>
      <w:r>
        <w:rPr>
          <w:sz w:val="22"/>
        </w:rPr>
        <w:t>4.</w:t>
        <w:tab/>
      </w:r>
      <w:r>
        <w:rPr>
          <w:sz w:val="22"/>
          <w:u w:val="single"/>
        </w:rPr>
        <w:t>Antitrust Issues</w:t>
      </w:r>
      <w:r>
        <w:rPr>
          <w:sz w:val="22"/>
        </w:rPr>
        <w:t xml:space="preserve">.  We have consulted with outside counsel, and do not believe that this transaction raises significant antitrust concerns.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pPr>
      <w:r>
        <w:rPr>
          <w:sz w:val="22"/>
        </w:rPr>
        <w:t>5.</w:t>
        <w:tab/>
      </w:r>
      <w:r>
        <w:rPr>
          <w:sz w:val="22"/>
          <w:u w:val="single"/>
        </w:rPr>
        <w:t>Equity Investment</w:t>
      </w:r>
      <w:r>
        <w:rPr>
          <w:sz w:val="22"/>
        </w:rPr>
        <w:t xml:space="preserve">.  The equity investment is being made pursuant to fairly standard equity investment documents providing for customary representations, warranties, indemnities, and investors rights.  There are no significant legal issues associated with the equity investment. </w:t>
      </w:r>
    </w:p>
    <w:p>
      <w:pPr>
        <w:pStyle w:val="Normal"/>
        <w:tabs>
          <w:tab w:val="left" w:pos="540" w:leader="none"/>
          <w:tab w:val="left" w:pos="1344" w:leader="none"/>
          <w:tab w:val="left" w:pos="5106" w:leader="none"/>
          <w:tab w:val="left" w:pos="7254" w:leader="none"/>
        </w:tabs>
        <w:jc w:val="both"/>
        <w:rPr>
          <w:sz w:val="22"/>
        </w:rPr>
      </w:pPr>
      <w:r>
        <w:rPr>
          <w:sz w:val="22"/>
        </w:rPr>
      </w:r>
    </w:p>
    <w:sectPr>
      <w:headerReference w:type="default" r:id="rId3"/>
      <w:headerReference w:type="first" r:id="rId4"/>
      <w:footerReference w:type="default" r:id="rId5"/>
      <w:footerReference w:type="first" r:id="rId6"/>
      <w:type w:val="nextPage"/>
      <w:pgSz w:w="12240" w:h="15840"/>
      <w:pgMar w:left="1152" w:right="1440" w:gutter="0" w:header="1152"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o:legal/tmccull/mems/CanFibre.doc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bookmarkStart w:id="0" w:name="StartOfMemo"/>
    <w:bookmarkStart w:id="1" w:name="StartOfMemo"/>
    <w:bookmarkEnd w:id="1"/>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3296285</wp:posOffset>
              </wp:positionH>
              <wp:positionV relativeFrom="paragraph">
                <wp:posOffset>-449580</wp:posOffset>
              </wp:positionV>
              <wp:extent cx="3877310" cy="93726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privileged and</w:t>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35.4pt;mso-position-vertical-relative:text;margin-left:259.55pt;mso-position-horizontal-relative:page">
              <v:fill opacity="0f"/>
              <v:textbox inset="0in,0in,0in,0in">
                <w:txbxContent>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privileged and</w:t>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 w:val="left" w:pos="1344" w:leader="none"/>
        <w:tab w:val="left" w:pos="5106" w:leader="none"/>
        <w:tab w:val="left" w:pos="7254" w:leader="none"/>
      </w:tabs>
      <w:ind w:hanging="0" w:start="576"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2000-11-30T23:43:00Z</dcterms:created>
  <dc:creator>appinst</dc:creator>
  <dc:description/>
  <dc:language>en-CA</dc:language>
  <cp:lastModifiedBy>Travis McCullough</cp:lastModifiedBy>
  <cp:lastPrinted>2000-11-30T20:35:00Z</cp:lastPrinted>
  <dcterms:modified xsi:type="dcterms:W3CDTF">2000-12-01T00:10:00Z</dcterms:modified>
  <cp:revision>4</cp:revision>
  <dc:subject/>
  <dc:title> </dc:title>
</cp:coreProperties>
</file>