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HR Restart Plan - Draft</w:t>
      </w:r>
    </w:p>
    <w:p>
      <w:pPr>
        <w:pStyle w:val="Normal"/>
        <w:rPr/>
      </w:pPr>
      <w:r>
        <w:rPr/>
      </w:r>
    </w:p>
    <w:p>
      <w:pPr>
        <w:pStyle w:val="Heading2"/>
        <w:ind w:hanging="0" w:start="0"/>
        <w:rPr/>
      </w:pPr>
      <w:r>
        <w:rPr/>
        <w:t>1) Due diligence</w:t>
      </w:r>
      <w:r>
        <w:rPr>
          <w:u w:val="none"/>
        </w:rPr>
        <w:t xml:space="preserve"> – Neil/David </w:t>
      </w:r>
    </w:p>
    <w:p>
      <w:pPr>
        <w:pStyle w:val="Normal"/>
        <w:rPr>
          <w:u w:val="none"/>
        </w:rPr>
      </w:pPr>
      <w:r>
        <w:rPr>
          <w:u w:val="none"/>
        </w:rPr>
      </w:r>
    </w:p>
    <w:p>
      <w:pPr>
        <w:pStyle w:val="Normal"/>
        <w:numPr>
          <w:ilvl w:val="0"/>
          <w:numId w:val="3"/>
        </w:numPr>
        <w:rPr/>
      </w:pPr>
      <w:r>
        <w:rPr/>
        <w:t>Data room – up to date using 1.7.02 list</w:t>
      </w:r>
    </w:p>
    <w:p>
      <w:pPr>
        <w:pStyle w:val="Normal"/>
        <w:numPr>
          <w:ilvl w:val="0"/>
          <w:numId w:val="3"/>
        </w:numPr>
        <w:rPr/>
      </w:pPr>
      <w:r>
        <w:rPr/>
        <w:t>Benefits comparison for Umbrella provided to them for comment</w:t>
      </w:r>
    </w:p>
    <w:p>
      <w:pPr>
        <w:pStyle w:val="Normal"/>
        <w:rPr/>
      </w:pPr>
      <w:r>
        <w:rPr/>
      </w:r>
    </w:p>
    <w:p>
      <w:pPr>
        <w:pStyle w:val="Normal"/>
        <w:rPr/>
      </w:pPr>
      <w:r>
        <w:rPr/>
        <w:t>Issues outstanding</w:t>
      </w:r>
    </w:p>
    <w:p>
      <w:pPr>
        <w:pStyle w:val="Normal"/>
        <w:rPr/>
      </w:pPr>
      <w:r>
        <w:rPr/>
      </w:r>
    </w:p>
    <w:p>
      <w:pPr>
        <w:pStyle w:val="Normal"/>
        <w:numPr>
          <w:ilvl w:val="0"/>
          <w:numId w:val="5"/>
        </w:numPr>
        <w:rPr/>
      </w:pPr>
      <w:r>
        <w:rPr/>
        <w:t>Higher benefit cost – analysis and potential solution presented to Umbrella HR – awaiting response - DO</w:t>
      </w:r>
    </w:p>
    <w:p>
      <w:pPr>
        <w:pStyle w:val="Normal"/>
        <w:numPr>
          <w:ilvl w:val="0"/>
          <w:numId w:val="5"/>
        </w:numPr>
        <w:rPr/>
      </w:pPr>
      <w:r>
        <w:rPr/>
        <w:t>Promotions – suggestion made to Umbrella that circa 50 promotions are approved – awaiting response - DO</w:t>
      </w:r>
    </w:p>
    <w:p>
      <w:pPr>
        <w:pStyle w:val="Normal"/>
        <w:numPr>
          <w:ilvl w:val="0"/>
          <w:numId w:val="5"/>
        </w:numPr>
        <w:rPr/>
      </w:pPr>
      <w:r>
        <w:rPr/>
        <w:t>Pay reviews - suggestion made to Umbrella that a market review of salaries is due and should be carried out post deal execution – awaiting response - DO</w:t>
      </w:r>
    </w:p>
    <w:p>
      <w:pPr>
        <w:pStyle w:val="Normal"/>
        <w:rPr/>
      </w:pPr>
      <w:r>
        <w:rPr/>
      </w:r>
    </w:p>
    <w:p>
      <w:pPr>
        <w:pStyle w:val="Normal"/>
        <w:rPr/>
      </w:pPr>
      <w:r>
        <w:rPr/>
      </w:r>
    </w:p>
    <w:p>
      <w:pPr>
        <w:pStyle w:val="Heading2"/>
        <w:ind w:hanging="0" w:start="0"/>
        <w:rPr/>
      </w:pPr>
      <w:r>
        <w:rPr/>
        <w:t xml:space="preserve">2) Payroll and benefits </w:t>
      </w:r>
      <w:r>
        <w:rPr>
          <w:u w:val="none"/>
        </w:rPr>
        <w:t>– Neil/Terrie Wheeler (estate)</w:t>
      </w:r>
    </w:p>
    <w:p>
      <w:pPr>
        <w:pStyle w:val="Normal"/>
        <w:rPr/>
      </w:pPr>
      <w:r>
        <w:rPr/>
      </w:r>
    </w:p>
    <w:p>
      <w:pPr>
        <w:pStyle w:val="Normal"/>
        <w:rPr/>
      </w:pPr>
      <w:r>
        <w:rPr/>
        <w:t>The current restart or transition plans for payroll vary based on the purchaser – some have prepared for a rapid transfer after deal closure others assume a more gradual transfer. The Enron estate is in a position to run Netco payroll based on either a rapid transfer or more prolonged period of transfer. The current estimate based on Umbrella is :</w:t>
      </w:r>
    </w:p>
    <w:p>
      <w:pPr>
        <w:pStyle w:val="Normal"/>
        <w:rPr/>
      </w:pPr>
      <w:r>
        <w:rPr/>
      </w:r>
    </w:p>
    <w:p>
      <w:pPr>
        <w:pStyle w:val="Heading2"/>
        <w:ind w:hanging="0" w:start="0"/>
        <w:rPr>
          <w:u w:val="none"/>
        </w:rPr>
      </w:pPr>
      <w:r>
        <w:rPr>
          <w:u w:val="none"/>
        </w:rPr>
        <w:t>Payroll transition plan</w:t>
      </w:r>
    </w:p>
    <w:p>
      <w:pPr>
        <w:pStyle w:val="Normal"/>
        <w:rPr>
          <w:u w:val="none"/>
        </w:rPr>
      </w:pPr>
      <w:r>
        <w:rPr>
          <w:u w:val="none"/>
        </w:rPr>
      </w:r>
    </w:p>
    <w:p>
      <w:pPr>
        <w:pStyle w:val="Normal"/>
        <w:numPr>
          <w:ilvl w:val="0"/>
          <w:numId w:val="2"/>
        </w:numPr>
        <w:rPr/>
      </w:pPr>
      <w:r>
        <w:rPr/>
        <w:t>Enron estate to run  1/15 payroll</w:t>
      </w:r>
    </w:p>
    <w:p>
      <w:pPr>
        <w:pStyle w:val="Normal"/>
        <w:numPr>
          <w:ilvl w:val="0"/>
          <w:numId w:val="2"/>
        </w:numPr>
        <w:rPr/>
      </w:pPr>
      <w:r>
        <w:rPr/>
        <w:t>Enron estate to run 1/31 payroll – with purchaser running a mirror payroll for audit purposes. Retention bonuses to be paid in 1/31 payroll.</w:t>
      </w:r>
    </w:p>
    <w:p>
      <w:pPr>
        <w:pStyle w:val="Normal"/>
        <w:numPr>
          <w:ilvl w:val="0"/>
          <w:numId w:val="2"/>
        </w:numPr>
        <w:rPr/>
      </w:pPr>
      <w:r>
        <w:rPr/>
        <w:t>Counterparty to run 2/15 payroll based on Netco terms and conditions</w:t>
      </w:r>
    </w:p>
    <w:p>
      <w:pPr>
        <w:pStyle w:val="Normal"/>
        <w:rPr/>
      </w:pPr>
      <w:r>
        <w:rPr/>
      </w:r>
    </w:p>
    <w:p>
      <w:pPr>
        <w:pStyle w:val="Normal"/>
        <w:rPr/>
      </w:pPr>
      <w:r>
        <w:rPr/>
        <w:t>Benefits transition plan</w:t>
      </w:r>
    </w:p>
    <w:p>
      <w:pPr>
        <w:pStyle w:val="Normal"/>
        <w:rPr/>
      </w:pPr>
      <w:r>
        <w:rPr/>
      </w:r>
    </w:p>
    <w:p>
      <w:pPr>
        <w:pStyle w:val="Normal"/>
        <w:numPr>
          <w:ilvl w:val="0"/>
          <w:numId w:val="4"/>
        </w:numPr>
        <w:rPr/>
      </w:pPr>
      <w:r>
        <w:rPr/>
        <w:t>Netco employees to stay on Enron benefits until 1/31</w:t>
      </w:r>
    </w:p>
    <w:p>
      <w:pPr>
        <w:pStyle w:val="Normal"/>
        <w:numPr>
          <w:ilvl w:val="0"/>
          <w:numId w:val="4"/>
        </w:numPr>
        <w:rPr/>
      </w:pPr>
      <w:r>
        <w:rPr/>
        <w:t>Netco employees to be provided with enrollment information with offer letters on 1/14 and have 30 days to return them</w:t>
      </w:r>
    </w:p>
    <w:p>
      <w:pPr>
        <w:pStyle w:val="Normal"/>
        <w:numPr>
          <w:ilvl w:val="0"/>
          <w:numId w:val="4"/>
        </w:numPr>
        <w:rPr/>
      </w:pPr>
      <w:r>
        <w:rPr/>
        <w:t>Netco employees will transfer onto purchaser benefits 2/1 with elections being applied retroactively.</w:t>
      </w:r>
    </w:p>
    <w:p>
      <w:pPr>
        <w:pStyle w:val="Normal"/>
        <w:rPr/>
      </w:pPr>
      <w:r>
        <w:rPr/>
      </w:r>
    </w:p>
    <w:p>
      <w:pPr>
        <w:pStyle w:val="Normal"/>
        <w:rPr/>
      </w:pPr>
      <w:r>
        <w:rPr/>
        <w:t>Issues outstanding</w:t>
      </w:r>
    </w:p>
    <w:p>
      <w:pPr>
        <w:pStyle w:val="Normal"/>
        <w:rPr/>
      </w:pPr>
      <w:r>
        <w:rPr/>
      </w:r>
    </w:p>
    <w:p>
      <w:pPr>
        <w:pStyle w:val="Normal"/>
        <w:rPr/>
      </w:pPr>
      <w:r>
        <w:rPr/>
        <w:t>None</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 xml:space="preserve">3) Retention Bonuses </w:t>
      </w:r>
      <w:r>
        <w:rPr>
          <w:u w:val="none"/>
        </w:rPr>
        <w:t xml:space="preserve">– David </w:t>
      </w:r>
    </w:p>
    <w:p>
      <w:pPr>
        <w:pStyle w:val="Normal"/>
        <w:rPr/>
      </w:pPr>
      <w:r>
        <w:rPr/>
      </w:r>
    </w:p>
    <w:p>
      <w:pPr>
        <w:pStyle w:val="Normal"/>
        <w:rPr/>
      </w:pPr>
      <w:r>
        <w:rPr/>
        <w:t xml:space="preserve">It is anticipated that retention payments will be made in 1/31 payroll for those individuals who have signed their offer letter to transfer to Netco. </w:t>
      </w:r>
    </w:p>
    <w:p>
      <w:pPr>
        <w:pStyle w:val="Normal"/>
        <w:rPr/>
      </w:pPr>
      <w:r>
        <w:rPr/>
      </w:r>
    </w:p>
    <w:p>
      <w:pPr>
        <w:pStyle w:val="Heading2"/>
        <w:ind w:hanging="0" w:start="0"/>
        <w:rPr>
          <w:u w:val="none"/>
        </w:rPr>
      </w:pPr>
      <w:r>
        <w:rPr>
          <w:u w:val="none"/>
        </w:rPr>
        <w:t>Issues outstanding</w:t>
      </w:r>
    </w:p>
    <w:p>
      <w:pPr>
        <w:pStyle w:val="Normal"/>
        <w:rPr>
          <w:u w:val="none"/>
        </w:rPr>
      </w:pPr>
      <w:r>
        <w:rPr>
          <w:u w:val="none"/>
        </w:rPr>
      </w:r>
    </w:p>
    <w:p>
      <w:pPr>
        <w:pStyle w:val="Normal"/>
        <w:numPr>
          <w:ilvl w:val="1"/>
          <w:numId w:val="2"/>
        </w:numPr>
        <w:rPr/>
      </w:pPr>
      <w:r>
        <w:rPr/>
        <w:t>need to agree form of words with purchaser for retention agreement - MHC</w:t>
      </w:r>
    </w:p>
    <w:p>
      <w:pPr>
        <w:pStyle w:val="Normal"/>
        <w:numPr>
          <w:ilvl w:val="1"/>
          <w:numId w:val="2"/>
        </w:numPr>
        <w:rPr/>
      </w:pPr>
      <w:r>
        <w:rPr/>
        <w:t>need to finalize the claw back period - DO</w:t>
      </w:r>
    </w:p>
    <w:p>
      <w:pPr>
        <w:pStyle w:val="Normal"/>
        <w:rPr/>
      </w:pPr>
      <w:r>
        <w:rPr/>
      </w:r>
    </w:p>
    <w:p>
      <w:pPr>
        <w:pStyle w:val="Heading2"/>
        <w:ind w:hanging="0" w:start="0"/>
        <w:rPr/>
      </w:pPr>
      <w:r>
        <w:rPr/>
        <w:t xml:space="preserve">4) Netco offers of employment and employment agreements </w:t>
      </w:r>
      <w:r>
        <w:rPr>
          <w:u w:val="none"/>
        </w:rPr>
        <w:t>– Amy/Jeanie</w:t>
      </w:r>
    </w:p>
    <w:p>
      <w:pPr>
        <w:pStyle w:val="Normal"/>
        <w:rPr>
          <w:u w:val="none"/>
        </w:rPr>
      </w:pPr>
      <w:r>
        <w:rPr>
          <w:u w:val="none"/>
        </w:rPr>
      </w:r>
    </w:p>
    <w:p>
      <w:pPr>
        <w:pStyle w:val="Normal"/>
        <w:rPr/>
      </w:pPr>
      <w:r>
        <w:rPr/>
        <w:t xml:space="preserve">We anticipate that: </w:t>
      </w:r>
    </w:p>
    <w:p>
      <w:pPr>
        <w:pStyle w:val="Normal"/>
        <w:rPr/>
      </w:pPr>
      <w:r>
        <w:rPr/>
      </w:r>
    </w:p>
    <w:p>
      <w:pPr>
        <w:pStyle w:val="Normal"/>
        <w:rPr/>
      </w:pPr>
      <w:r>
        <w:rPr/>
        <w:t>Draft employment agreements have been presented to __ of the “key and critical” employees and will be finalized and executed before deal execution.</w:t>
      </w:r>
    </w:p>
    <w:p>
      <w:pPr>
        <w:pStyle w:val="Normal"/>
        <w:rPr/>
      </w:pPr>
      <w:r>
        <w:rPr/>
        <w:t>Offer letters will be generated on 1/11 and presented to employees on 1/13 onwards, to be returned by 1/17</w:t>
      </w:r>
    </w:p>
    <w:p>
      <w:pPr>
        <w:pStyle w:val="Normal"/>
        <w:rPr/>
      </w:pPr>
      <w:r>
        <w:rPr/>
        <w:t>Those that are returned by 1/22 will receive their retention bonus in their 1/31 paycheck.</w:t>
      </w:r>
    </w:p>
    <w:p>
      <w:pPr>
        <w:pStyle w:val="Normal"/>
        <w:rPr/>
      </w:pPr>
      <w:r>
        <w:rPr/>
        <w:t xml:space="preserve">Employees will transfer onto new Netco terms on 2/1 </w:t>
      </w:r>
    </w:p>
    <w:p>
      <w:pPr>
        <w:pStyle w:val="Normal"/>
        <w:rPr/>
      </w:pPr>
      <w:r>
        <w:rPr/>
      </w:r>
    </w:p>
    <w:p>
      <w:pPr>
        <w:pStyle w:val="Heading2"/>
        <w:ind w:hanging="0" w:start="0"/>
        <w:rPr>
          <w:u w:val="none"/>
        </w:rPr>
      </w:pPr>
      <w:r>
        <w:rPr>
          <w:u w:val="none"/>
        </w:rPr>
        <w:t>Issues outstanding</w:t>
      </w:r>
    </w:p>
    <w:p>
      <w:pPr>
        <w:pStyle w:val="Normal"/>
        <w:numPr>
          <w:ilvl w:val="1"/>
          <w:numId w:val="2"/>
        </w:numPr>
        <w:rPr/>
      </w:pPr>
      <w:r>
        <w:rPr/>
        <w:t>need to agree offer letter with purchaser - AF</w:t>
      </w:r>
    </w:p>
    <w:p>
      <w:pPr>
        <w:pStyle w:val="Normal"/>
        <w:numPr>
          <w:ilvl w:val="1"/>
          <w:numId w:val="2"/>
        </w:numPr>
        <w:rPr/>
      </w:pPr>
      <w:r>
        <w:rPr/>
        <w:t>offer letter packs need to be received from purchaser - AF</w:t>
      </w:r>
    </w:p>
    <w:p>
      <w:pPr>
        <w:pStyle w:val="Normal"/>
        <w:rPr/>
      </w:pPr>
      <w:r>
        <w:rPr/>
      </w:r>
    </w:p>
    <w:p>
      <w:pPr>
        <w:pStyle w:val="Heading2"/>
        <w:ind w:hanging="0" w:start="0"/>
        <w:rPr/>
      </w:pPr>
      <w:r>
        <w:rPr/>
        <w:t>5) Immigration and Work- permit status</w:t>
      </w:r>
      <w:r>
        <w:rPr>
          <w:u w:val="none"/>
        </w:rPr>
        <w:t xml:space="preserve"> - Karen</w:t>
      </w:r>
    </w:p>
    <w:p>
      <w:pPr>
        <w:pStyle w:val="Heading2"/>
        <w:ind w:hanging="0" w:start="0"/>
        <w:rPr/>
      </w:pPr>
      <w:r>
        <w:rPr/>
      </w:r>
    </w:p>
    <w:p>
      <w:pPr>
        <w:pStyle w:val="Normal"/>
        <w:rPr/>
      </w:pPr>
      <w:r>
        <w:rPr/>
        <w:t>L1 visas ( inter-company transfers)  - we have briefed counter parties on the extent of these work permits and have a contingency plan to transfer these from L1’s to H1’s within 6 weeks of confirmation of who the purchaser is.</w:t>
      </w:r>
    </w:p>
    <w:p>
      <w:pPr>
        <w:pStyle w:val="Normal"/>
        <w:rPr/>
      </w:pPr>
      <w:r>
        <w:rPr/>
      </w:r>
    </w:p>
    <w:p>
      <w:pPr>
        <w:pStyle w:val="Normal"/>
        <w:rPr/>
      </w:pPr>
      <w:r>
        <w:rPr/>
        <w:t>H1 visa - we have briefed counter parties on the extent of these work permits and have a contingency plan to transfer these from Enron H1’s to Netco H1’s within 52 hours of confirmation of who the purchaser is.</w:t>
      </w:r>
    </w:p>
    <w:p>
      <w:pPr>
        <w:pStyle w:val="Normal"/>
        <w:rPr/>
      </w:pPr>
      <w:r>
        <w:rPr/>
      </w:r>
    </w:p>
    <w:p>
      <w:pPr>
        <w:pStyle w:val="Normal"/>
        <w:rPr/>
      </w:pPr>
      <w:r>
        <w:rPr/>
        <w:t>Green cards – for those who are within 90 days of receiving their green card or who have exhausted their ability to work on an L1 or H1 work permit we have made secondment arrangements for them to stay with the estate until their green card is approved.</w:t>
      </w:r>
    </w:p>
    <w:p>
      <w:pPr>
        <w:pStyle w:val="Normal"/>
        <w:rPr/>
      </w:pPr>
      <w:r>
        <w:rPr/>
      </w:r>
    </w:p>
    <w:p>
      <w:pPr>
        <w:pStyle w:val="Normal"/>
        <w:rPr/>
      </w:pPr>
      <w:r>
        <w:rPr/>
        <w:t>Issues outstanding</w:t>
      </w:r>
    </w:p>
    <w:p>
      <w:pPr>
        <w:pStyle w:val="Normal"/>
        <w:rPr/>
      </w:pPr>
      <w:r>
        <w:rPr/>
      </w:r>
    </w:p>
    <w:p>
      <w:pPr>
        <w:pStyle w:val="Normal"/>
        <w:rPr/>
      </w:pPr>
      <w:r>
        <w:rPr/>
        <w:t>None</w:t>
      </w:r>
    </w:p>
    <w:p>
      <w:pPr>
        <w:pStyle w:val="Heading2"/>
        <w:ind w:hanging="0" w:start="0"/>
        <w:rPr/>
      </w:pPr>
      <w:r>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t>6) Employee communications</w:t>
      </w:r>
      <w:r>
        <w:rPr/>
        <w:t xml:space="preserve"> – Neil/Amy</w:t>
      </w:r>
    </w:p>
    <w:p>
      <w:pPr>
        <w:pStyle w:val="Normal"/>
        <w:rPr>
          <w:u w:val="single"/>
        </w:rPr>
      </w:pPr>
      <w:r>
        <w:rPr>
          <w:u w:val="single"/>
        </w:rPr>
      </w:r>
    </w:p>
    <w:p>
      <w:pPr>
        <w:pStyle w:val="Normal"/>
        <w:rPr/>
      </w:pPr>
      <w:r>
        <w:rPr/>
        <w:t>Pre deal communication plan presented to LK 1/7</w:t>
      </w:r>
    </w:p>
    <w:p>
      <w:pPr>
        <w:pStyle w:val="Normal"/>
        <w:rPr/>
      </w:pPr>
      <w:r>
        <w:rPr/>
        <w:t>All employee meeting discussed for post deal closure</w:t>
      </w:r>
    </w:p>
    <w:p>
      <w:pPr>
        <w:pStyle w:val="Normal"/>
        <w:rPr/>
      </w:pPr>
      <w:r>
        <w:rPr/>
      </w:r>
    </w:p>
    <w:p>
      <w:pPr>
        <w:pStyle w:val="Normal"/>
        <w:rPr/>
      </w:pPr>
      <w:r>
        <w:rPr/>
        <w:t>Issues outstanding</w:t>
      </w:r>
    </w:p>
    <w:p>
      <w:pPr>
        <w:pStyle w:val="Normal"/>
        <w:rPr/>
      </w:pPr>
      <w:r>
        <w:rPr/>
      </w:r>
    </w:p>
    <w:p>
      <w:pPr>
        <w:pStyle w:val="Normal"/>
        <w:rPr/>
      </w:pPr>
      <w:r>
        <w:rPr/>
        <w:t>Pre deal plan needs to be agreed - ND</w:t>
      </w:r>
    </w:p>
    <w:p>
      <w:pPr>
        <w:pStyle w:val="Normal"/>
        <w:rPr/>
      </w:pPr>
      <w:r>
        <w:rPr/>
        <w:t>Format and timing of all employee meeting - ND</w:t>
      </w:r>
    </w:p>
    <w:p>
      <w:pPr>
        <w:pStyle w:val="Normal"/>
        <w:rPr/>
      </w:pPr>
      <w:r>
        <w:rPr/>
      </w:r>
    </w:p>
    <w:p>
      <w:pPr>
        <w:pStyle w:val="Heading2"/>
        <w:ind w:hanging="0" w:start="0"/>
        <w:rPr/>
      </w:pPr>
      <w:r>
        <w:rPr/>
        <w:t>7) Compensation</w:t>
      </w:r>
      <w:r>
        <w:rPr>
          <w:u w:val="none"/>
        </w:rPr>
        <w:t xml:space="preserve"> - Kari</w:t>
      </w:r>
    </w:p>
    <w:p>
      <w:pPr>
        <w:pStyle w:val="Normal"/>
        <w:rPr/>
      </w:pPr>
      <w:r>
        <w:rPr/>
      </w:r>
    </w:p>
    <w:p>
      <w:pPr>
        <w:pStyle w:val="Normal"/>
        <w:rPr/>
      </w:pPr>
      <w:r>
        <w:rPr/>
        <w:t>Salary review – we have the appropriate market data and job matching data to carry out a salary review as required.</w:t>
      </w:r>
    </w:p>
    <w:p>
      <w:pPr>
        <w:pStyle w:val="Normal"/>
        <w:rPr/>
      </w:pPr>
      <w:r>
        <w:rPr/>
      </w:r>
    </w:p>
    <w:p>
      <w:pPr>
        <w:pStyle w:val="Heading2"/>
        <w:ind w:hanging="0" w:start="0"/>
        <w:rPr/>
      </w:pPr>
      <w:r>
        <w:rPr/>
        <w:t>8) Integration</w:t>
      </w:r>
      <w:r>
        <w:rPr>
          <w:u w:val="none"/>
        </w:rPr>
        <w:t xml:space="preserve"> – David</w:t>
      </w:r>
    </w:p>
    <w:p>
      <w:pPr>
        <w:pStyle w:val="Heading2"/>
        <w:ind w:hanging="0" w:start="0"/>
        <w:rPr/>
      </w:pPr>
      <w:r>
        <w:rPr/>
      </w:r>
    </w:p>
    <w:p>
      <w:pPr>
        <w:pStyle w:val="Normal"/>
        <w:rPr/>
      </w:pPr>
      <w:r>
        <w:rPr/>
        <w:t>Post deal execution we will agree a strategy for the integration of:</w:t>
      </w:r>
    </w:p>
    <w:p>
      <w:pPr>
        <w:pStyle w:val="Normal"/>
        <w:rPr/>
      </w:pPr>
      <w:r>
        <w:rPr/>
      </w:r>
    </w:p>
    <w:p>
      <w:pPr>
        <w:pStyle w:val="Normal"/>
        <w:numPr>
          <w:ilvl w:val="1"/>
          <w:numId w:val="2"/>
        </w:numPr>
        <w:rPr/>
      </w:pPr>
      <w:r>
        <w:rPr/>
        <w:t>Grading structures and appropriate job mapping</w:t>
      </w:r>
    </w:p>
    <w:p>
      <w:pPr>
        <w:pStyle w:val="Normal"/>
        <w:numPr>
          <w:ilvl w:val="1"/>
          <w:numId w:val="2"/>
        </w:numPr>
        <w:rPr/>
      </w:pPr>
      <w:r>
        <w:rPr/>
        <w:t>Job titles</w:t>
      </w:r>
    </w:p>
    <w:p>
      <w:pPr>
        <w:pStyle w:val="Normal"/>
        <w:numPr>
          <w:ilvl w:val="1"/>
          <w:numId w:val="2"/>
        </w:numPr>
        <w:rPr/>
      </w:pPr>
      <w:r>
        <w:rPr/>
        <w:t>Performance management process</w:t>
      </w:r>
    </w:p>
    <w:p>
      <w:pPr>
        <w:pStyle w:val="Normal"/>
        <w:numPr>
          <w:ilvl w:val="1"/>
          <w:numId w:val="2"/>
        </w:numPr>
        <w:rPr/>
      </w:pPr>
      <w:r>
        <w:rPr/>
        <w:t>Pay review processes</w:t>
      </w:r>
    </w:p>
    <w:p>
      <w:pPr>
        <w:pStyle w:val="Normal"/>
        <w:numPr>
          <w:ilvl w:val="1"/>
          <w:numId w:val="2"/>
        </w:numPr>
        <w:rPr/>
      </w:pPr>
      <w:r>
        <w:rPr/>
        <w:t>Bonus allocation processes</w:t>
      </w:r>
    </w:p>
    <w:p>
      <w:pPr>
        <w:pStyle w:val="Normal"/>
        <w:rPr/>
      </w:pPr>
      <w:r>
        <w:rPr/>
      </w:r>
    </w:p>
    <w:p>
      <w:pPr>
        <w:pStyle w:val="Normal"/>
        <w:rPr/>
      </w:pPr>
      <w:r>
        <w:rPr/>
      </w:r>
    </w:p>
    <w:p>
      <w:pPr>
        <w:pStyle w:val="Heading2"/>
        <w:ind w:hanging="0" w:start="0"/>
        <w:rPr/>
      </w:pPr>
      <w:r>
        <w:rPr/>
      </w:r>
    </w:p>
    <w:p>
      <w:pPr>
        <w:pStyle w:val="Heading2"/>
        <w:ind w:hanging="0" w:start="0"/>
        <w:rPr/>
      </w:pPr>
      <w:r>
        <w:rPr/>
        <w:t xml:space="preserve">9) HR systems </w:t>
      </w:r>
      <w:r>
        <w:rPr>
          <w:u w:val="none"/>
        </w:rPr>
        <w:t>– Neil/Hillier/Kathy (estate)</w:t>
      </w:r>
    </w:p>
    <w:p>
      <w:pPr>
        <w:pStyle w:val="Normal"/>
        <w:rPr/>
      </w:pPr>
      <w:r>
        <w:rPr/>
      </w:r>
    </w:p>
    <w:p>
      <w:pPr>
        <w:pStyle w:val="Normal"/>
        <w:rPr/>
      </w:pPr>
      <w:r>
        <w:rPr/>
        <w:t>We currently plan to bring across instances of the following systems:</w:t>
      </w:r>
    </w:p>
    <w:p>
      <w:pPr>
        <w:pStyle w:val="Normal"/>
        <w:rPr/>
      </w:pPr>
      <w:r>
        <w:rPr/>
      </w:r>
    </w:p>
    <w:p>
      <w:pPr>
        <w:pStyle w:val="Normal"/>
        <w:rPr/>
      </w:pPr>
      <w:r>
        <w:rPr/>
        <w:t>HRGIS</w:t>
      </w:r>
    </w:p>
    <w:p>
      <w:pPr>
        <w:pStyle w:val="Normal"/>
        <w:rPr/>
      </w:pPr>
      <w:r>
        <w:rPr/>
        <w:t>EHRonline</w:t>
      </w:r>
    </w:p>
    <w:p>
      <w:pPr>
        <w:pStyle w:val="Normal"/>
        <w:rPr/>
      </w:pPr>
      <w:r>
        <w:rPr/>
        <w:t>Global compensation system</w:t>
      </w:r>
    </w:p>
    <w:p>
      <w:pPr>
        <w:pStyle w:val="Normal"/>
        <w:rPr/>
      </w:pPr>
      <w:r>
        <w:rPr/>
        <w:t>PEP</w:t>
      </w:r>
    </w:p>
    <w:p>
      <w:pPr>
        <w:pStyle w:val="Normal"/>
        <w:rPr/>
      </w:pPr>
      <w:r>
        <w:rPr/>
        <w:t>Personic</w:t>
      </w:r>
    </w:p>
    <w:p>
      <w:pPr>
        <w:pStyle w:val="Normal"/>
        <w:rPr/>
      </w:pPr>
      <w:r>
        <w:rPr/>
        <w:t>Peoplefinder</w:t>
      </w:r>
    </w:p>
    <w:p>
      <w:pPr>
        <w:pStyle w:val="Normal"/>
        <w:rPr/>
      </w:pPr>
      <w:r>
        <w:rPr/>
        <w:t>TIPS</w:t>
      </w:r>
    </w:p>
    <w:p>
      <w:pPr>
        <w:pStyle w:val="Normal"/>
        <w:rPr/>
      </w:pPr>
      <w:r>
        <w:rPr/>
        <w:t>HR data warehouse</w:t>
      </w:r>
    </w:p>
    <w:p>
      <w:pPr>
        <w:pStyle w:val="Normal"/>
        <w:rPr/>
      </w:pPr>
      <w:r>
        <w:rPr/>
      </w:r>
    </w:p>
    <w:p>
      <w:pPr>
        <w:pStyle w:val="Normal"/>
        <w:rPr/>
      </w:pPr>
      <w:r>
        <w:rPr/>
        <w:t>Bob Hillier and Kathy Schultea are working out the technical requirements for the transfer.</w:t>
      </w:r>
    </w:p>
    <w:p>
      <w:pPr>
        <w:pStyle w:val="Normal"/>
        <w:rPr/>
      </w:pPr>
      <w:r>
        <w:rPr/>
      </w:r>
    </w:p>
    <w:p>
      <w:pPr>
        <w:pStyle w:val="Normal"/>
        <w:rPr/>
      </w:pPr>
      <w:r>
        <w:rPr/>
      </w:r>
    </w:p>
    <w:p>
      <w:pPr>
        <w:pStyle w:val="Heading2"/>
        <w:ind w:hanging="0" w:start="0"/>
        <w:rPr/>
      </w:pPr>
      <w:r>
        <w:rPr/>
        <w:t>10) Recruitment</w:t>
      </w:r>
      <w:r>
        <w:rPr>
          <w:u w:val="none"/>
        </w:rPr>
        <w:t xml:space="preserve"> - Neil</w:t>
      </w:r>
    </w:p>
    <w:p>
      <w:pPr>
        <w:pStyle w:val="Normal"/>
        <w:rPr/>
      </w:pPr>
      <w:r>
        <w:rPr/>
      </w:r>
    </w:p>
    <w:p>
      <w:pPr>
        <w:pStyle w:val="Normal"/>
        <w:rPr/>
      </w:pPr>
      <w:r>
        <w:rPr/>
        <w:t xml:space="preserve">We have identified vendors on the commercial area, professional services areas and technology areas and will negotiate supply agreements with them post deal execution. </w:t>
      </w:r>
    </w:p>
    <w:p>
      <w:pPr>
        <w:pStyle w:val="Normal"/>
        <w:rPr/>
      </w:pPr>
      <w:r>
        <w:rPr/>
      </w:r>
    </w:p>
    <w:p>
      <w:pPr>
        <w:pStyle w:val="Normal"/>
        <w:rPr/>
      </w:pPr>
      <w:r>
        <w:rPr/>
        <w:t>Issues outstanding</w:t>
      </w:r>
    </w:p>
    <w:p>
      <w:pPr>
        <w:pStyle w:val="Normal"/>
        <w:numPr>
          <w:ilvl w:val="1"/>
          <w:numId w:val="2"/>
        </w:numPr>
        <w:rPr/>
      </w:pPr>
      <w:r>
        <w:rPr/>
        <w:t>negotiate services agreement with vendors - ND</w:t>
      </w:r>
    </w:p>
    <w:p>
      <w:pPr>
        <w:pStyle w:val="Normal"/>
        <w:numPr>
          <w:ilvl w:val="1"/>
          <w:numId w:val="2"/>
        </w:numPr>
        <w:rPr/>
      </w:pPr>
      <w:r>
        <w:rPr/>
        <w:t>communicate vendors to hiring managers and generalists – ND</w:t>
      </w:r>
    </w:p>
    <w:p>
      <w:pPr>
        <w:pStyle w:val="Normal"/>
        <w:numPr>
          <w:ilvl w:val="1"/>
          <w:numId w:val="2"/>
        </w:numPr>
        <w:rPr/>
      </w:pPr>
      <w:r>
        <w:rPr/>
        <w:t>communicating the employment proposition and brand - ND</w:t>
      </w:r>
    </w:p>
    <w:p>
      <w:pPr>
        <w:pStyle w:val="Normal"/>
        <w:rPr/>
      </w:pPr>
      <w:r>
        <w:rPr/>
      </w:r>
    </w:p>
    <w:p>
      <w:pPr>
        <w:pStyle w:val="Normal"/>
        <w:rPr/>
      </w:pPr>
      <w:r>
        <w:rPr/>
      </w:r>
    </w:p>
    <w:p>
      <w:pPr>
        <w:pStyle w:val="Heading2"/>
        <w:ind w:hanging="0" w:start="0"/>
        <w:rPr/>
      </w:pPr>
      <w:r>
        <w:rPr/>
        <w:t xml:space="preserve">11) Analyst and Associate </w:t>
      </w:r>
      <w:r>
        <w:rPr>
          <w:u w:val="none"/>
        </w:rPr>
        <w:t xml:space="preserve">– Karen </w:t>
      </w:r>
    </w:p>
    <w:p>
      <w:pPr>
        <w:pStyle w:val="Normal"/>
        <w:rPr/>
      </w:pPr>
      <w:r>
        <w:rPr/>
      </w:r>
    </w:p>
    <w:p>
      <w:pPr>
        <w:pStyle w:val="Normal"/>
        <w:rPr/>
      </w:pPr>
      <w:r>
        <w:rPr/>
        <w:t>We will hold a strategic review of the program post deal execution in light of the purchaser’s college recruitment and program management.</w:t>
      </w:r>
    </w:p>
    <w:p>
      <w:pPr>
        <w:pStyle w:val="Normal"/>
        <w:rPr/>
      </w:pPr>
      <w:r>
        <w:rPr/>
      </w:r>
    </w:p>
    <w:p>
      <w:pPr>
        <w:pStyle w:val="Normal"/>
        <w:rPr/>
      </w:pPr>
      <w:r>
        <w:rPr/>
        <w:t>Issues to be determined</w:t>
      </w:r>
    </w:p>
    <w:p>
      <w:pPr>
        <w:pStyle w:val="Normal"/>
        <w:numPr>
          <w:ilvl w:val="1"/>
          <w:numId w:val="2"/>
        </w:numPr>
        <w:rPr/>
      </w:pPr>
      <w:r>
        <w:rPr/>
        <w:t>future of the program</w:t>
      </w:r>
    </w:p>
    <w:p>
      <w:pPr>
        <w:pStyle w:val="Normal"/>
        <w:numPr>
          <w:ilvl w:val="1"/>
          <w:numId w:val="2"/>
        </w:numPr>
        <w:rPr/>
      </w:pPr>
      <w:r>
        <w:rPr/>
        <w:t>interface with purchasers college recruitment function</w:t>
      </w:r>
    </w:p>
    <w:p>
      <w:pPr>
        <w:pStyle w:val="Normal"/>
        <w:numPr>
          <w:ilvl w:val="1"/>
          <w:numId w:val="2"/>
        </w:numPr>
        <w:rPr/>
      </w:pPr>
      <w:r>
        <w:rPr/>
        <w:t xml:space="preserve">structure of the program </w:t>
      </w:r>
    </w:p>
    <w:p>
      <w:pPr>
        <w:pStyle w:val="Normal"/>
        <w:numPr>
          <w:ilvl w:val="2"/>
          <w:numId w:val="2"/>
        </w:numPr>
        <w:rPr/>
      </w:pPr>
      <w:r>
        <w:rPr/>
        <w:t>commercial  - trading/origination/other</w:t>
      </w:r>
    </w:p>
    <w:p>
      <w:pPr>
        <w:pStyle w:val="Normal"/>
        <w:numPr>
          <w:ilvl w:val="2"/>
          <w:numId w:val="2"/>
        </w:numPr>
        <w:rPr/>
      </w:pPr>
      <w:r>
        <w:rPr/>
        <w:t>support – IT/operations</w:t>
      </w:r>
    </w:p>
    <w:p>
      <w:pPr>
        <w:pStyle w:val="Normal"/>
        <w:numPr>
          <w:ilvl w:val="1"/>
          <w:numId w:val="2"/>
        </w:numPr>
        <w:rPr/>
      </w:pPr>
      <w:r>
        <w:rPr/>
        <w:t>promotions and salary reviews</w:t>
      </w:r>
    </w:p>
    <w:p>
      <w:pPr>
        <w:pStyle w:val="Normal"/>
        <w:numPr>
          <w:ilvl w:val="1"/>
          <w:numId w:val="2"/>
        </w:numPr>
        <w:rPr/>
      </w:pPr>
      <w:r>
        <w:rPr/>
        <w:t>training and events</w:t>
      </w:r>
    </w:p>
    <w:p>
      <w:pPr>
        <w:pStyle w:val="Normal"/>
        <w:numPr>
          <w:ilvl w:val="1"/>
          <w:numId w:val="2"/>
        </w:numPr>
        <w:rPr/>
      </w:pPr>
      <w:r>
        <w:rPr/>
        <w:t>budgets</w:t>
      </w:r>
    </w:p>
    <w:p>
      <w:pPr>
        <w:pStyle w:val="Normal"/>
        <w:numPr>
          <w:ilvl w:val="1"/>
          <w:numId w:val="2"/>
        </w:numPr>
        <w:rPr/>
      </w:pPr>
      <w:r>
        <w:rPr/>
        <w:t>campus recruitment versus real time</w:t>
      </w:r>
    </w:p>
    <w:p>
      <w:pPr>
        <w:pStyle w:val="Normal"/>
        <w:numPr>
          <w:ilvl w:val="1"/>
          <w:numId w:val="2"/>
        </w:numPr>
        <w:rPr/>
      </w:pPr>
      <w:r>
        <w:rPr/>
        <w:t xml:space="preserve">branding </w:t>
      </w:r>
    </w:p>
    <w:p>
      <w:pPr>
        <w:pStyle w:val="Normal"/>
        <w:rPr/>
      </w:pPr>
      <w:r>
        <w:rPr/>
      </w:r>
    </w:p>
    <w:p>
      <w:pPr>
        <w:pStyle w:val="Normal"/>
        <w:rPr>
          <w:u w:val="single"/>
        </w:rPr>
      </w:pPr>
      <w:r>
        <w:rPr>
          <w:u w:val="single"/>
        </w:rPr>
        <w:t>12) HR Integration</w:t>
      </w:r>
      <w:r>
        <w:rPr/>
        <w:t xml:space="preserve"> – Neil</w:t>
      </w:r>
    </w:p>
    <w:p>
      <w:pPr>
        <w:pStyle w:val="Normal"/>
        <w:rPr>
          <w:u w:val="single"/>
        </w:rPr>
      </w:pPr>
      <w:r>
        <w:rPr>
          <w:u w:val="single"/>
        </w:rPr>
      </w:r>
    </w:p>
    <w:p>
      <w:pPr>
        <w:pStyle w:val="Normal"/>
        <w:rPr/>
      </w:pPr>
      <w:r>
        <w:rPr/>
        <w:t>A team from Netco HR will attend approximately a week of orientation with the purchasers HR team to focus on:</w:t>
      </w:r>
    </w:p>
    <w:p>
      <w:pPr>
        <w:pStyle w:val="Normal"/>
        <w:rPr/>
      </w:pPr>
      <w:r>
        <w:rPr/>
      </w:r>
    </w:p>
    <w:p>
      <w:pPr>
        <w:pStyle w:val="Normal"/>
        <w:numPr>
          <w:ilvl w:val="1"/>
          <w:numId w:val="2"/>
        </w:numPr>
        <w:rPr/>
      </w:pPr>
      <w:r>
        <w:rPr/>
        <w:t>Systems training and integration</w:t>
      </w:r>
    </w:p>
    <w:p>
      <w:pPr>
        <w:pStyle w:val="Normal"/>
        <w:numPr>
          <w:ilvl w:val="1"/>
          <w:numId w:val="2"/>
        </w:numPr>
        <w:rPr/>
      </w:pPr>
      <w:r>
        <w:rPr/>
        <w:t>Process familiarization</w:t>
      </w:r>
    </w:p>
    <w:p>
      <w:pPr>
        <w:pStyle w:val="Normal"/>
        <w:numPr>
          <w:ilvl w:val="1"/>
          <w:numId w:val="2"/>
        </w:numPr>
        <w:rPr/>
      </w:pPr>
      <w:r>
        <w:rPr/>
        <w:t>Benefits and general terms and conditions familiarization</w:t>
      </w:r>
    </w:p>
    <w:p>
      <w:pPr>
        <w:pStyle w:val="Normal"/>
        <w:numPr>
          <w:ilvl w:val="1"/>
          <w:numId w:val="2"/>
        </w:numPr>
        <w:rPr/>
      </w:pPr>
      <w:r>
        <w:rPr/>
        <w:t>Policy and procedure familiarization</w:t>
      </w:r>
    </w:p>
    <w:p>
      <w:pPr>
        <w:pStyle w:val="Normal"/>
        <w:numPr>
          <w:ilvl w:val="1"/>
          <w:numId w:val="2"/>
        </w:numPr>
        <w:rPr/>
      </w:pPr>
      <w:r>
        <w:rPr/>
        <w:t xml:space="preserve">Availability and costs of “corporate” resources for shared services </w:t>
      </w:r>
    </w:p>
    <w:p>
      <w:pPr>
        <w:pStyle w:val="Normal"/>
        <w:rPr/>
      </w:pPr>
      <w:r>
        <w:rPr/>
      </w:r>
    </w:p>
    <w:p>
      <w:pPr>
        <w:pStyle w:val="Heading2"/>
        <w:ind w:hanging="0" w:start="0"/>
        <w:rPr/>
      </w:pPr>
      <w:r>
        <w:rPr/>
        <w:t>13) Training</w:t>
      </w:r>
      <w:r>
        <w:rPr>
          <w:u w:val="none"/>
        </w:rPr>
        <w:t xml:space="preserve"> – Neil </w:t>
      </w:r>
    </w:p>
    <w:p>
      <w:pPr>
        <w:pStyle w:val="Normal"/>
        <w:rPr/>
      </w:pPr>
      <w:r>
        <w:rPr/>
      </w:r>
    </w:p>
    <w:p>
      <w:pPr>
        <w:pStyle w:val="Normal"/>
        <w:rPr/>
      </w:pPr>
      <w:r>
        <w:rPr/>
        <w:t>We are currently analyzing mandatory training requirements for the Netco.</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Normal"/>
        <w:ind w:firstLine="720" w:start="1440" w:end="0"/>
        <w:jc w:val="center"/>
        <w:rPr>
          <w:b/>
          <w:bCs/>
        </w:rPr>
      </w:pPr>
      <w:r>
        <w:object w:dxaOrig="3470" w:dyaOrig="129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5.9pt;width:666pt;height:247.55pt;mso-wrap-distance-left:9.05pt;mso-wrap-distance-right:9.05pt;mso-position-horizontal-relative:text;mso-position-vertical-relative:text" filled="f" o:ole="">
            <v:imagedata r:id="rId3" o:title=""/>
            <w10:wrap type="topAndBottom"/>
          </v:shape>
          <o:OLEObject Type="Embed" ProgID="" ShapeID="ole_rId2" DrawAspect="Content" ObjectID="_1035183795" r:id="rId2"/>
        </w:object>
        <mc:AlternateContent>
          <mc:Choice Requires="wps">
            <w:drawing>
              <wp:anchor behindDoc="0" distT="0" distB="0" distL="114935" distR="114935" simplePos="0" locked="0" layoutInCell="1" allowOverlap="1" relativeHeight="3">
                <wp:simplePos x="0" y="0"/>
                <wp:positionH relativeFrom="column">
                  <wp:posOffset>-114935</wp:posOffset>
                </wp:positionH>
                <wp:positionV relativeFrom="paragraph">
                  <wp:posOffset>1257300</wp:posOffset>
                </wp:positionV>
                <wp:extent cx="3034665" cy="2540"/>
                <wp:effectExtent l="635" t="5080" r="635" b="5080"/>
                <wp:wrapNone/>
                <wp:docPr id="1" name=""/>
                <a:graphic xmlns:a="http://schemas.openxmlformats.org/drawingml/2006/main">
                  <a:graphicData uri="http://schemas.microsoft.com/office/word/2010/wordprocessingShape">
                    <wps:wsp>
                      <wps:cNvSpPr/>
                      <wps:spPr>
                        <a:xfrm flipH="1">
                          <a:off x="0" y="0"/>
                          <a:ext cx="3034800" cy="252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9.05pt,99pt" to="229.85pt,99.15pt" stroked="t" o:allowincell="f" style="position:absolute;flip:x">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-114300</wp:posOffset>
                </wp:positionH>
                <wp:positionV relativeFrom="paragraph">
                  <wp:posOffset>1257300</wp:posOffset>
                </wp:positionV>
                <wp:extent cx="1270" cy="292735"/>
                <wp:effectExtent l="5080" t="635" r="5080" b="635"/>
                <wp:wrapNone/>
                <wp:docPr id="2" name=""/>
                <a:graphic xmlns:a="http://schemas.openxmlformats.org/drawingml/2006/main">
                  <a:graphicData uri="http://schemas.microsoft.com/office/word/2010/wordprocessingShape">
                    <wps:wsp>
                      <wps:cNvSpPr/>
                      <wps:spPr>
                        <a:xfrm>
                          <a:off x="0" y="0"/>
                          <a:ext cx="1440" cy="29268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9pt,99pt" to="-8.95pt,122pt" stroked="t" o:allowincell="f" style="position:absolute">
                <v:stroke color="black" weight="9360" dashstyle="shortdot" joinstyle="miter" endcap="flat"/>
                <v:fill o:detectmouseclick="t" on="false"/>
                <w10:wrap type="none"/>
              </v:line>
            </w:pict>
          </mc:Fallback>
        </mc:AlternateContent>
      </w:r>
      <w:r>
        <w:rPr>
          <w:b/>
          <w:bCs/>
        </w:rPr>
        <w:t>HR Organisation - Netco</w:t>
      </w:r>
      <w:r>
        <mc:AlternateContent>
          <mc:Choice Requires="wps">
            <w:drawing>
              <wp:anchor behindDoc="0" distT="0" distB="0" distL="114935" distR="114935" simplePos="0" locked="0" layoutInCell="1" allowOverlap="1" relativeHeight="4">
                <wp:simplePos x="0" y="0"/>
                <wp:positionH relativeFrom="column">
                  <wp:posOffset>-806450</wp:posOffset>
                </wp:positionH>
                <wp:positionV relativeFrom="paragraph">
                  <wp:posOffset>1593850</wp:posOffset>
                </wp:positionV>
                <wp:extent cx="1574800" cy="389890"/>
                <wp:effectExtent l="0" t="0" r="0" b="0"/>
                <wp:wrapNone/>
                <wp:docPr id="3" name="Frame1"/>
                <a:graphic xmlns:a="http://schemas.openxmlformats.org/drawingml/2006/main">
                  <a:graphicData uri="http://schemas.microsoft.com/office/word/2010/wordprocessingShape">
                    <wps:wsp>
                      <wps:cNvSpPr txBox="1"/>
                      <wps:spPr>
                        <a:xfrm>
                          <a:off x="0" y="0"/>
                          <a:ext cx="1574800" cy="389890"/>
                        </a:xfrm>
                        <a:prstGeom prst="rect"/>
                        <a:solidFill>
                          <a:srgbClr val="FFFFFF">
                            <a:alpha val="0"/>
                          </a:srgbClr>
                        </a:solidFill>
                        <a:ln w="12700">
                          <a:solidFill>
                            <a:srgbClr val="FFCC99"/>
                          </a:solidFill>
                        </a:ln>
                      </wps:spPr>
                      <wps:txbx>
                        <w:txbxContent>
                          <w:p>
                            <w:pPr>
                              <w:pStyle w:val="Normal"/>
                              <w:autoSpaceDE w:val="false"/>
                              <w:jc w:val="center"/>
                              <w:rPr>
                                <w:rFonts w:ascii="Verdana" w:hAnsi="Verdana" w:cs="Verdana"/>
                                <w:color w:val="000000"/>
                                <w:sz w:val="16"/>
                                <w:szCs w:val="16"/>
                              </w:rPr>
                            </w:pPr>
                            <w:r>
                              <w:rPr>
                                <w:rFonts w:cs="Verdana" w:ascii="Verdana" w:hAnsi="Verdana"/>
                                <w:color w:val="000000"/>
                                <w:sz w:val="16"/>
                                <w:szCs w:val="16"/>
                              </w:rPr>
                              <w:t xml:space="preserve">Michelle Cash   </w:t>
                            </w:r>
                          </w:p>
                          <w:p>
                            <w:pPr>
                              <w:pStyle w:val="Normal"/>
                              <w:autoSpaceDE w:val="false"/>
                              <w:jc w:val="center"/>
                              <w:rPr>
                                <w:rFonts w:ascii="Verdana" w:hAnsi="Verdana" w:cs="Verdana"/>
                                <w:color w:val="000000"/>
                                <w:sz w:val="16"/>
                                <w:szCs w:val="16"/>
                              </w:rPr>
                            </w:pPr>
                            <w:r>
                              <w:rPr>
                                <w:rFonts w:cs="Verdana" w:ascii="Verdana" w:hAnsi="Verdana"/>
                                <w:color w:val="000000"/>
                                <w:sz w:val="16"/>
                                <w:szCs w:val="16"/>
                              </w:rPr>
                              <w:t>Legal</w:t>
                            </w:r>
                          </w:p>
                        </w:txbxContent>
                      </wps:txbx>
                      <wps:bodyPr anchor="t" lIns="78740" tIns="33020" rIns="78740" bIns="33020">
                        <a:spAutoFit/>
                      </wps:bodyPr>
                    </wps:wsp>
                  </a:graphicData>
                </a:graphic>
              </wp:anchor>
            </w:drawing>
          </mc:Choice>
          <mc:Fallback>
            <w:pict>
              <v:rect fillcolor="#FFFFFF" strokecolor="#FFCC99" strokeweight="1pt" style="position:absolute;rotation:-0;width:124pt;height:30.7pt;mso-wrap-distance-left:9.05pt;mso-wrap-distance-right:9.05pt;mso-wrap-distance-top:0pt;mso-wrap-distance-bottom:0pt;margin-top:125.5pt;mso-position-vertical-relative:text;margin-left:-63.5pt;mso-position-horizontal-relative:text">
                <v:fill opacity="0f"/>
                <v:textbox inset="0.0861111111111111in,0.0361111111111111in,0.0861111111111111in,0.0361111111111111in">
                  <w:txbxContent>
                    <w:p>
                      <w:pPr>
                        <w:pStyle w:val="Normal"/>
                        <w:autoSpaceDE w:val="false"/>
                        <w:jc w:val="center"/>
                        <w:rPr>
                          <w:rFonts w:ascii="Verdana" w:hAnsi="Verdana" w:cs="Verdana"/>
                          <w:color w:val="000000"/>
                          <w:sz w:val="16"/>
                          <w:szCs w:val="16"/>
                        </w:rPr>
                      </w:pPr>
                      <w:r>
                        <w:rPr>
                          <w:rFonts w:cs="Verdana" w:ascii="Verdana" w:hAnsi="Verdana"/>
                          <w:color w:val="000000"/>
                          <w:sz w:val="16"/>
                          <w:szCs w:val="16"/>
                        </w:rPr>
                        <w:t xml:space="preserve">Michelle Cash   </w:t>
                      </w:r>
                    </w:p>
                    <w:p>
                      <w:pPr>
                        <w:pStyle w:val="Normal"/>
                        <w:autoSpaceDE w:val="false"/>
                        <w:jc w:val="center"/>
                        <w:rPr>
                          <w:rFonts w:ascii="Verdana" w:hAnsi="Verdana" w:cs="Verdana"/>
                          <w:color w:val="000000"/>
                          <w:sz w:val="16"/>
                          <w:szCs w:val="16"/>
                        </w:rPr>
                      </w:pPr>
                      <w:r>
                        <w:rPr>
                          <w:rFonts w:cs="Verdana" w:ascii="Verdana" w:hAnsi="Verdana"/>
                          <w:color w:val="000000"/>
                          <w:sz w:val="16"/>
                          <w:szCs w:val="16"/>
                        </w:rPr>
                        <w:t>Legal</w:t>
                      </w:r>
                    </w:p>
                  </w:txbxContent>
                </v:textbox>
                <w10:wrap type="none"/>
              </v:rect>
            </w:pict>
          </mc:Fallback>
        </mc:AlternateContent>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Verdan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lvl w:ilvl="1">
      <w:start w:val="1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sz w:val="20"/>
    </w:rPr>
  </w:style>
  <w:style w:type="character" w:styleId="WW8Num1z1">
    <w:name w:val="WW8Num1z1"/>
    <w:qFormat/>
    <w:rPr>
      <w:rFonts w:ascii="Times New Roman" w:hAnsi="Times New Roman" w:eastAsia="Times New Roman"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2002-01-07T17:15:00Z</dcterms:created>
  <dc:creator>ndavies</dc:creator>
  <dc:description/>
  <dc:language>en-CA</dc:language>
  <cp:lastModifiedBy>ndavies</cp:lastModifiedBy>
  <cp:lastPrinted>2002-01-07T13:45:00Z</cp:lastPrinted>
  <dcterms:modified xsi:type="dcterms:W3CDTF">2002-01-07T18:24:00Z</dcterms:modified>
  <cp:revision>3</cp:revision>
  <dc:subject/>
  <dc:title>HR Restart Plan</dc:title>
</cp:coreProperties>
</file>