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object w:dxaOrig="8638" w:dyaOrig="10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23.5pt;width:477pt;height:65.4pt;mso-wrap-distance-left:9.05pt;mso-wrap-distance-right:9.05pt;mso-position-horizontal-relative:text;mso-position-vertical-relative:text" filled="f" o:ole="">
            <v:imagedata r:id="rId3" o:title=""/>
            <w10:wrap type="topAndBottom"/>
          </v:shape>
          <o:OLEObject Type="Embed" ProgID="" ShapeID="ole_rId2" DrawAspect="Content" ObjectID="_394400043" r:id="rId2"/>
        </w:object>
      </w:r>
      <w:r>
        <mc:AlternateContent>
          <mc:Choice Requires="wps">
            <w:drawing>
              <wp:anchor behindDoc="0" distT="0" distB="0" distL="114935" distR="114935" simplePos="0" locked="0" layoutInCell="1" allowOverlap="1" relativeHeight="3">
                <wp:simplePos x="0" y="0"/>
                <wp:positionH relativeFrom="column">
                  <wp:posOffset>800100</wp:posOffset>
                </wp:positionH>
                <wp:positionV relativeFrom="paragraph">
                  <wp:posOffset>298450</wp:posOffset>
                </wp:positionV>
                <wp:extent cx="5143500" cy="571500"/>
                <wp:effectExtent l="0" t="0" r="0" b="0"/>
                <wp:wrapNone/>
                <wp:docPr id="1" name="Frame1"/>
                <a:graphic xmlns:a="http://schemas.openxmlformats.org/drawingml/2006/main">
                  <a:graphicData uri="http://schemas.microsoft.com/office/word/2010/wordprocessingShape">
                    <wps:wsp>
                      <wps:cNvSpPr txBox="1"/>
                      <wps:spPr>
                        <a:xfrm>
                          <a:off x="0" y="0"/>
                          <a:ext cx="5143500" cy="571500"/>
                        </a:xfrm>
                        <a:prstGeom prst="rect"/>
                        <a:solidFill>
                          <a:srgbClr val="FFFFFF"/>
                        </a:solidFill>
                      </wps:spPr>
                      <wps:txbx>
                        <w:txbxContent>
                          <w:p>
                            <w:pPr>
                              <w:pStyle w:val="BodyText"/>
                              <w:jc w:val="center"/>
                              <w:rPr/>
                            </w:pPr>
                            <w:r>
                              <w:rPr>
                                <w:sz w:val="64"/>
                              </w:rPr>
                              <w:t>Enron HR</w:t>
                            </w:r>
                            <w:r>
                              <w:rPr/>
                              <w:t xml:space="preserve"> Newsletter</w:t>
                            </w:r>
                          </w:p>
                        </w:txbxContent>
                      </wps:txbx>
                      <wps:bodyPr anchor="t" lIns="92075" tIns="46355" rIns="92075" bIns="46355">
                        <a:noAutofit/>
                      </wps:bodyPr>
                    </wps:wsp>
                  </a:graphicData>
                </a:graphic>
              </wp:anchor>
            </w:drawing>
          </mc:Choice>
          <mc:Fallback>
            <w:pict>
              <v:rect fillcolor="#FFFFFF" style="position:absolute;rotation:-0;width:405pt;height:45pt;mso-wrap-distance-left:9.05pt;mso-wrap-distance-right:9.05pt;mso-wrap-distance-top:0pt;mso-wrap-distance-bottom:0pt;margin-top:23.5pt;mso-position-vertical-relative:text;margin-left:63pt;mso-position-horizontal-relative:text">
                <v:textbox inset="0.100694444444444in,0.0506944444444444in,0.100694444444444in,0.0506944444444444in">
                  <w:txbxContent>
                    <w:p>
                      <w:pPr>
                        <w:pStyle w:val="BodyText"/>
                        <w:jc w:val="center"/>
                        <w:rPr/>
                      </w:pPr>
                      <w:r>
                        <w:rPr>
                          <w:sz w:val="64"/>
                        </w:rPr>
                        <w:t>Enron HR</w:t>
                      </w:r>
                      <w:r>
                        <w:rPr/>
                        <w:t xml:space="preserve"> Newsletter</w:t>
                      </w:r>
                    </w:p>
                  </w:txbxContent>
                </v:textbox>
                <w10:wrap type="none"/>
              </v:rect>
            </w:pict>
          </mc:Fallback>
        </mc:AlternateContent>
      </w:r>
    </w:p>
    <w:p>
      <w:pPr>
        <w:pStyle w:val="Normal"/>
        <w:rPr/>
      </w:pPr>
      <w:r>
        <w:rPr/>
      </w:r>
    </w:p>
    <w:p>
      <w:pPr>
        <w:pStyle w:val="Normal"/>
        <w:rPr/>
      </w:pPr>
      <w:r>
        <w:rPr/>
      </w:r>
    </w:p>
    <w:p>
      <w:pPr>
        <w:pStyle w:val="Normal"/>
        <w:rPr/>
      </w:pPr>
      <w:r>
        <w:rPr/>
      </w:r>
    </w:p>
    <w:p>
      <w:pPr>
        <w:pStyle w:val="Heading2"/>
        <w:ind w:hanging="0" w:start="0"/>
        <w:rPr>
          <w:i/>
          <w:i/>
          <w:iCs/>
          <w:sz w:val="40"/>
        </w:rPr>
      </w:pPr>
      <w:r>
        <w:rPr>
          <w:i/>
          <w:iCs/>
          <w:sz w:val="40"/>
        </w:rPr>
      </w:r>
    </w:p>
    <w:p>
      <w:pPr>
        <w:pStyle w:val="Heading1"/>
        <w:ind w:hanging="0" w:start="0"/>
        <w:rPr>
          <w:b/>
          <w:bCs/>
          <w:i/>
          <w:i/>
          <w:iCs/>
          <w:sz w:val="14"/>
        </w:rPr>
      </w:pPr>
      <w:r>
        <w:rPr>
          <w:b/>
          <w:bCs/>
          <w:i/>
          <w:iCs/>
          <w:sz w:val="14"/>
        </w:rPr>
      </w:r>
    </w:p>
    <w:p>
      <w:pPr>
        <w:pStyle w:val="Heading1"/>
        <w:ind w:hanging="0" w:start="0"/>
        <w:rPr>
          <w:b/>
          <w:bCs/>
          <w:sz w:val="48"/>
        </w:rPr>
      </w:pPr>
      <w:r>
        <w:rPr>
          <w:b/>
          <w:bCs/>
          <w:sz w:val="48"/>
        </w:rPr>
        <w:t>September 26, 2001</w:t>
      </w:r>
    </w:p>
    <w:p>
      <w:pPr>
        <w:pStyle w:val="Normal"/>
        <w:rPr>
          <w:b/>
          <w:bCs/>
          <w:sz w:val="48"/>
        </w:rPr>
      </w:pPr>
      <w:r>
        <w:rPr>
          <w:b/>
          <w:bCs/>
          <w:sz w:val="48"/>
        </w:rPr>
      </w:r>
    </w:p>
    <w:p>
      <w:pPr>
        <w:pStyle w:val="Normal"/>
        <w:rPr/>
      </w:pPr>
      <w:r>
        <w:rPr/>
      </w:r>
    </w:p>
    <w:p>
      <w:pPr>
        <w:pStyle w:val="Normal"/>
        <w:rPr/>
      </w:pPr>
      <w:r>
        <w:rPr/>
      </w:r>
    </w:p>
    <w:p>
      <w:pPr>
        <w:pStyle w:val="Normal"/>
        <w:rPr>
          <w:lang w:val="en-CA" w:eastAsia="en-CA"/>
        </w:rPr>
      </w:pPr>
      <w:r>
        <w:rPr>
          <w:lang w:val="en-CA" w:eastAsia="en-CA"/>
        </w:rPr>
        <w:object w:dxaOrig="13228" w:dyaOrig="638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08pt;margin-top:16.6pt;width:259.2pt;height:125.2pt;mso-wrap-distance-left:9.05pt;mso-wrap-distance-right:9.05pt;mso-position-horizontal-relative:text;mso-position-vertical-relative:text" filled="f" o:ole="">
            <v:imagedata r:id="rId5" o:title=""/>
            <w10:wrap type="topAndBottom"/>
          </v:shape>
          <o:OLEObject Type="Embed" ProgID="" ShapeID="ole_rId4" DrawAspect="Content" ObjectID="_785061623" r:id="rId4"/>
        </w:obje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5"/>
        <w:ind w:hanging="0" w:start="0"/>
        <w:rPr>
          <w:sz w:val="18"/>
        </w:rPr>
      </w:pPr>
      <w:r>
        <w:rPr>
          <w:sz w:val="18"/>
        </w:rPr>
      </w:r>
    </w:p>
    <w:p>
      <w:pPr>
        <w:pStyle w:val="Heading5"/>
        <w:autoSpaceDE w:val="true"/>
        <w:ind w:hanging="0" w:start="0" w:end="-720"/>
        <w:rPr/>
      </w:pPr>
      <w:r>
        <w:rPr/>
        <w:t>Benefits and Wellness</w:t>
      </w:r>
    </w:p>
    <w:p>
      <w:pPr>
        <w:pStyle w:val="Heading5"/>
        <w:ind w:hanging="0" w:start="0" w:end="-720"/>
        <w:jc w:val="both"/>
        <w:rPr>
          <w:sz w:val="18"/>
        </w:rPr>
      </w:pPr>
      <w:r>
        <w:rPr>
          <w:sz w:val="18"/>
        </w:rPr>
      </w:r>
    </w:p>
    <w:p>
      <w:pPr>
        <w:pStyle w:val="Header"/>
        <w:ind w:start="360" w:end="-360"/>
        <w:jc w:val="both"/>
        <w:rPr>
          <w:b/>
          <w:bCs/>
          <w:u w:val="single"/>
        </w:rPr>
      </w:pPr>
      <w:r>
        <w:rPr>
          <w:b/>
          <w:bCs/>
          <w:u w:val="single"/>
        </w:rPr>
        <w:t>Study: Workers Want More Work/Life Balance</w:t>
      </w:r>
    </w:p>
    <w:p>
      <w:pPr>
        <w:pStyle w:val="Header"/>
        <w:ind w:start="360" w:end="-360"/>
        <w:jc w:val="both"/>
        <w:rPr/>
      </w:pPr>
      <w:r>
        <w:rPr/>
        <w:t>Despite recent reports that American workers are working longer hours each week than their counterparts in other countries, a Towers Perrin study of nearly 5,000 employees in the United States found that 42% described their preferred working model as that of a "balanced careerist," which puts a priority on work/life balance. This is the largest single category among the respondents who selected their career model preferences among five categories posed by the study.</w:t>
      </w:r>
    </w:p>
    <w:p>
      <w:pPr>
        <w:pStyle w:val="Header"/>
        <w:ind w:start="360" w:end="-360"/>
        <w:jc w:val="both"/>
        <w:rPr>
          <w:sz w:val="8"/>
        </w:rPr>
      </w:pPr>
      <w:r>
        <w:rPr>
          <w:sz w:val="8"/>
        </w:rPr>
      </w:r>
    </w:p>
    <w:p>
      <w:pPr>
        <w:pStyle w:val="Header"/>
        <w:ind w:start="360" w:end="-360"/>
        <w:jc w:val="both"/>
        <w:rPr/>
      </w:pPr>
      <w:r>
        <w:rPr/>
        <w:t>The study also found that an additional 28% preferred the role of a "company-dedicated careerist" that are interested in long-term skill development and mutual loyalty between employer and employee.</w:t>
      </w:r>
    </w:p>
    <w:p>
      <w:pPr>
        <w:pStyle w:val="Header"/>
        <w:ind w:start="360" w:end="-360"/>
        <w:jc w:val="both"/>
        <w:rPr>
          <w:sz w:val="8"/>
        </w:rPr>
      </w:pPr>
      <w:r>
        <w:rPr>
          <w:sz w:val="8"/>
        </w:rPr>
      </w:r>
    </w:p>
    <w:p>
      <w:pPr>
        <w:pStyle w:val="Header"/>
        <w:ind w:start="360" w:end="-360"/>
        <w:jc w:val="both"/>
        <w:rPr/>
      </w:pPr>
      <w:r>
        <w:rPr/>
        <w:t>The study also shows that only 6% of respondents preferred to be "free agents," workers who move quickly between/within companies where their skills are in the highest demand. Equal numbers (12% each) selected "fast tracker" (those seeking high involvement in the job, quick advancement and high rewards) and "experimenter" (those trying many different things and building a portfolio of skills).</w:t>
      </w:r>
    </w:p>
    <w:p>
      <w:pPr>
        <w:pStyle w:val="Normal"/>
        <w:ind w:start="360" w:end="-360"/>
        <w:jc w:val="both"/>
        <w:rPr>
          <w:b/>
          <w:bCs/>
          <w:sz w:val="22"/>
          <w:u w:val="single"/>
        </w:rPr>
      </w:pPr>
      <w:r>
        <w:rPr>
          <w:b/>
          <w:bCs/>
          <w:sz w:val="22"/>
          <w:u w:val="single"/>
        </w:rPr>
      </w:r>
    </w:p>
    <w:p>
      <w:pPr>
        <w:pStyle w:val="Normal"/>
        <w:ind w:start="360" w:end="-360"/>
        <w:jc w:val="both"/>
        <w:rPr>
          <w:b/>
          <w:bCs/>
          <w:u w:val="single"/>
        </w:rPr>
      </w:pPr>
      <w:r>
        <w:rPr>
          <w:b/>
          <w:bCs/>
          <w:u w:val="single"/>
        </w:rPr>
        <w:t xml:space="preserve">Suit claims PBM improperly switches prescriptions </w:t>
      </w:r>
    </w:p>
    <w:p>
      <w:pPr>
        <w:pStyle w:val="Normal"/>
        <w:ind w:start="360" w:end="-360"/>
        <w:jc w:val="both"/>
        <w:rPr/>
      </w:pPr>
      <w:r>
        <w:rPr/>
        <w:t xml:space="preserve">Several employers and individuals have charged pharmacy benefits manager Merck-Medco with breach of fiduciary duty, alleging the company switches patients to higher cost prescription drugs without disclosing the switch to patients.  Although the company "doesn't deny" patients are sometimes switched to costlier drugs, it contends that patients' copays do not change.  However, plaintiffs' attorneys argue that "secret deals" between Merck-Medco and pharmaceutical companies "lead to huge profit gains not passed on to customers."  A company statement, however, says the suits are "a series of incorrect factual assertions, which are tied together with assumptions and unsupported conclusions."    </w:t>
      </w:r>
      <w:r>
        <w:rPr>
          <w:i/>
          <w:iCs/>
        </w:rPr>
        <w:t>Source:  Benefitnews.com Connect - September 20, 2001</w:t>
      </w:r>
    </w:p>
    <w:p>
      <w:pPr>
        <w:pStyle w:val="Normal"/>
        <w:ind w:start="360" w:end="-360"/>
        <w:jc w:val="both"/>
        <w:rPr>
          <w:i/>
          <w:i/>
          <w:iCs/>
          <w:sz w:val="22"/>
        </w:rPr>
      </w:pPr>
      <w:r>
        <w:rPr>
          <w:i/>
          <w:iCs/>
          <w:sz w:val="22"/>
        </w:rPr>
      </w:r>
    </w:p>
    <w:p>
      <w:pPr>
        <w:pStyle w:val="Normal"/>
        <w:ind w:start="360" w:end="-360"/>
        <w:jc w:val="both"/>
        <w:rPr>
          <w:b/>
          <w:bCs/>
          <w:u w:val="single"/>
        </w:rPr>
      </w:pPr>
      <w:r>
        <w:rPr>
          <w:b/>
          <w:bCs/>
          <w:u w:val="single"/>
        </w:rPr>
        <w:t>Merck-Medco to Open State-of-the-Industry Pharmaceutical Customer-Care Center</w:t>
      </w:r>
    </w:p>
    <w:p>
      <w:pPr>
        <w:pStyle w:val="Normal"/>
        <w:ind w:start="360" w:end="-360"/>
        <w:jc w:val="both"/>
        <w:rPr/>
      </w:pPr>
      <w:r>
        <w:rPr/>
        <w:t>Merck-Medco announced plans to open a state-of-the-industry Pharmacy Customer-Care Call Center in Northeast Tampa.  The new call center will provide health information and pharmacist consultation calls to its customers.  The Call Center will address the Company's growing customer service capacity needs by providing the ability to handle more than 200,000 patient inquiries weekly, 10 million annually when completely operational.</w:t>
      </w:r>
    </w:p>
    <w:p>
      <w:pPr>
        <w:pStyle w:val="Normal"/>
        <w:ind w:start="360" w:end="-360"/>
        <w:jc w:val="both"/>
        <w:rPr>
          <w:sz w:val="22"/>
        </w:rPr>
      </w:pPr>
      <w:r>
        <w:rPr>
          <w:sz w:val="22"/>
        </w:rPr>
      </w:r>
    </w:p>
    <w:p>
      <w:pPr>
        <w:pStyle w:val="Normal"/>
        <w:ind w:start="360" w:end="-360"/>
        <w:jc w:val="both"/>
        <w:rPr>
          <w:b/>
          <w:bCs/>
          <w:u w:val="single"/>
        </w:rPr>
      </w:pPr>
      <w:r>
        <w:rPr>
          <w:b/>
          <w:bCs/>
          <w:u w:val="single"/>
        </w:rPr>
        <w:t>Ergonomics Announcement Postponed</w:t>
      </w:r>
    </w:p>
    <w:p>
      <w:pPr>
        <w:pStyle w:val="Normal"/>
        <w:ind w:start="360" w:end="-360"/>
        <w:jc w:val="both"/>
        <w:rPr/>
      </w:pPr>
      <w:r>
        <w:rPr/>
        <w:t xml:space="preserve">Citing the Sept. 11 terrorism attacks, the U.S. Department of Labor has postponed its long-awaited announcement on creation of a federal ergonomics standard.  The announcement, which had been expected this month, will instead be made later this fall, according to the department. </w:t>
      </w:r>
    </w:p>
    <w:p>
      <w:pPr>
        <w:pStyle w:val="Normal"/>
        <w:ind w:start="360" w:end="-360"/>
        <w:jc w:val="both"/>
        <w:rPr>
          <w:b/>
          <w:bCs/>
          <w:sz w:val="22"/>
          <w:u w:val="single"/>
        </w:rPr>
      </w:pPr>
      <w:r>
        <w:rPr>
          <w:b/>
          <w:bCs/>
          <w:sz w:val="22"/>
          <w:u w:val="single"/>
        </w:rPr>
      </w:r>
    </w:p>
    <w:p>
      <w:pPr>
        <w:pStyle w:val="Header"/>
        <w:ind w:start="360" w:end="-360"/>
        <w:jc w:val="both"/>
        <w:rPr>
          <w:b/>
          <w:bCs/>
          <w:u w:val="single"/>
        </w:rPr>
      </w:pPr>
      <w:r>
        <w:rPr>
          <w:b/>
          <w:bCs/>
          <w:u w:val="single"/>
        </w:rPr>
        <w:t>Ford Signs Licensing Agreement with WellMed</w:t>
      </w:r>
    </w:p>
    <w:p>
      <w:pPr>
        <w:pStyle w:val="Header"/>
        <w:ind w:start="360" w:end="-360"/>
        <w:jc w:val="both"/>
        <w:rPr/>
      </w:pPr>
      <w:r>
        <w:rPr/>
        <w:t xml:space="preserve">The WellMed Personal Health Manager is now accessible to 170,000 U.S. employees and their families through the Ford Model E program from home or from work via the Internet.  WellMed is a provider of online consumer health management tools. </w:t>
      </w:r>
    </w:p>
    <w:p>
      <w:pPr>
        <w:pStyle w:val="Header"/>
        <w:ind w:start="360" w:end="-360"/>
        <w:jc w:val="both"/>
        <w:rPr>
          <w:sz w:val="8"/>
        </w:rPr>
      </w:pPr>
      <w:r>
        <w:rPr>
          <w:sz w:val="8"/>
        </w:rPr>
      </w:r>
    </w:p>
    <w:p>
      <w:pPr>
        <w:pStyle w:val="Header"/>
        <w:ind w:start="360" w:end="-360"/>
        <w:jc w:val="both"/>
        <w:rPr/>
      </w:pPr>
      <w:r>
        <w:rPr/>
        <w:t xml:space="preserve">The WellMed Personal Health Manager enables Ford employees and their families to assess, record and improve their health on a daily basis. It includes general and gender-specific health risk assessment tools that cover past health issues, family history and lifestyle habits; a secure location for individuals to create, gather, and store health records; a source of educational information on conventional and alternative treatment options for important health topics such as allergies, asthma, depression, diabetes, cancer and stress; and interactive, self-paced programs designed to assist individuals in achieving positive, healthful change such as quitting smoking, improving nutrition and fitness or preparing for a healthy pregnancy.  Ford employees and their families can also receive health information and reminders by e-mail if they so choose. </w:t>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center"/>
        <w:rPr>
          <w:b/>
          <w:bCs/>
          <w:sz w:val="18"/>
          <w:u w:val="single"/>
        </w:rPr>
      </w:pPr>
      <w:r>
        <w:rPr>
          <w:b/>
          <w:bCs/>
          <w:sz w:val="18"/>
          <w:u w:val="single"/>
        </w:rPr>
      </w:r>
    </w:p>
    <w:p>
      <w:pPr>
        <w:pStyle w:val="Header"/>
        <w:ind w:start="360" w:end="-360"/>
        <w:jc w:val="center"/>
        <w:rPr/>
      </w:pPr>
      <w:r>
        <w:rPr>
          <w:b/>
          <w:bCs/>
          <w:sz w:val="22"/>
          <w:u w:val="single"/>
        </w:rPr>
        <w:t>Benefits and Wellness</w:t>
      </w:r>
      <w:r>
        <w:rPr>
          <w:b/>
          <w:bCs/>
          <w:sz w:val="22"/>
        </w:rPr>
        <w:t xml:space="preserve"> (Cont.)</w:t>
      </w:r>
    </w:p>
    <w:p>
      <w:pPr>
        <w:pStyle w:val="Header"/>
        <w:ind w:start="360" w:end="-360"/>
        <w:jc w:val="both"/>
        <w:rPr>
          <w:b/>
          <w:bCs/>
          <w:sz w:val="18"/>
          <w:u w:val="single"/>
        </w:rPr>
      </w:pPr>
      <w:r>
        <w:rPr>
          <w:b/>
          <w:bCs/>
          <w:sz w:val="18"/>
          <w:u w:val="single"/>
        </w:rPr>
      </w:r>
    </w:p>
    <w:p>
      <w:pPr>
        <w:pStyle w:val="Header"/>
        <w:ind w:start="360" w:end="-360"/>
        <w:jc w:val="both"/>
        <w:rPr>
          <w:b/>
          <w:bCs/>
          <w:u w:val="single"/>
        </w:rPr>
      </w:pPr>
      <w:r>
        <w:rPr>
          <w:b/>
          <w:bCs/>
          <w:u w:val="single"/>
        </w:rPr>
        <w:t xml:space="preserve">DC health generates optimism for cost control </w:t>
      </w:r>
    </w:p>
    <w:p>
      <w:pPr>
        <w:pStyle w:val="Header"/>
        <w:ind w:start="360" w:end="-360"/>
        <w:jc w:val="both"/>
        <w:rPr/>
      </w:pPr>
      <w:r>
        <w:rPr/>
        <w:t xml:space="preserve">Defined contribution models may be a practical solution to rising health care costs most employers face, according to a survey conducted by Arthur Andersen, CalPERS and Total Health Advocacy Partners. </w:t>
      </w:r>
    </w:p>
    <w:p>
      <w:pPr>
        <w:pStyle w:val="Header"/>
        <w:ind w:start="360" w:end="-360"/>
        <w:jc w:val="both"/>
        <w:rPr>
          <w:sz w:val="8"/>
        </w:rPr>
      </w:pPr>
      <w:r>
        <w:rPr>
          <w:sz w:val="8"/>
        </w:rPr>
      </w:r>
    </w:p>
    <w:p>
      <w:pPr>
        <w:pStyle w:val="Header"/>
        <w:ind w:start="360" w:end="-360"/>
        <w:jc w:val="both"/>
        <w:rPr/>
      </w:pPr>
      <w:r>
        <w:rPr/>
        <w:t xml:space="preserve">The survey, which included 206 companies, found that practically all public agencies (96%) and private employers (90%) have witnessed substantial increases in health care costs in the past year. Three-quarters of public agencies and just over half (53%) of private employers cite surges in premiums for health care as the culprit in escalating labor costs. </w:t>
      </w:r>
    </w:p>
    <w:p>
      <w:pPr>
        <w:pStyle w:val="Header"/>
        <w:ind w:start="360" w:end="-360"/>
        <w:jc w:val="both"/>
        <w:rPr>
          <w:sz w:val="8"/>
        </w:rPr>
      </w:pPr>
      <w:r>
        <w:rPr>
          <w:sz w:val="8"/>
        </w:rPr>
      </w:r>
    </w:p>
    <w:p>
      <w:pPr>
        <w:pStyle w:val="Header"/>
        <w:ind w:start="360" w:end="-360"/>
        <w:jc w:val="both"/>
        <w:rPr/>
      </w:pPr>
      <w:r>
        <w:rPr/>
        <w:t xml:space="preserve">Techniques to implement DC programs or greater cost-sharing and to renegotiate health care plans or provider contracts were found to be the most effective. </w:t>
      </w:r>
    </w:p>
    <w:p>
      <w:pPr>
        <w:pStyle w:val="Header"/>
        <w:ind w:start="360" w:end="-360"/>
        <w:jc w:val="both"/>
        <w:rPr>
          <w:sz w:val="8"/>
        </w:rPr>
      </w:pPr>
      <w:r>
        <w:rPr>
          <w:sz w:val="8"/>
        </w:rPr>
      </w:r>
    </w:p>
    <w:p>
      <w:pPr>
        <w:pStyle w:val="Header"/>
        <w:ind w:start="360" w:end="-360"/>
        <w:jc w:val="both"/>
        <w:rPr/>
      </w:pPr>
      <w:r>
        <w:rPr/>
        <w:t xml:space="preserve">Employee Benefit News ran a two-part series of the institution of DC health.  Click on the following links to access the articles:       </w:t>
      </w:r>
      <w:hyperlink r:id="rId6">
        <w:r>
          <w:rPr>
            <w:rStyle w:val="Hyperlink"/>
          </w:rPr>
          <w:t>DC Health – Part 1</w:t>
        </w:r>
      </w:hyperlink>
      <w:r>
        <w:rPr/>
        <w:t xml:space="preserve">     </w:t>
      </w:r>
      <w:hyperlink r:id="rId7">
        <w:r>
          <w:rPr>
            <w:rStyle w:val="Hyperlink"/>
          </w:rPr>
          <w:t>DC Health – Part 2</w:t>
        </w:r>
      </w:hyperlink>
    </w:p>
    <w:p>
      <w:pPr>
        <w:pStyle w:val="Header"/>
        <w:ind w:start="360" w:end="-360"/>
        <w:jc w:val="both"/>
        <w:rPr/>
      </w:pPr>
      <w:r>
        <w:rPr/>
      </w:r>
    </w:p>
    <w:p>
      <w:pPr>
        <w:pStyle w:val="Header"/>
        <w:ind w:start="360" w:end="-360"/>
        <w:jc w:val="both"/>
        <w:rPr>
          <w:b/>
          <w:bCs/>
          <w:u w:val="single"/>
        </w:rPr>
      </w:pPr>
      <w:r>
        <w:rPr>
          <w:b/>
          <w:bCs/>
          <w:u w:val="single"/>
        </w:rPr>
        <w:t>Aetna launches consumer-directed health plan</w:t>
      </w:r>
    </w:p>
    <w:p>
      <w:pPr>
        <w:pStyle w:val="Header"/>
        <w:ind w:start="360" w:end="-360"/>
        <w:jc w:val="both"/>
        <w:rPr/>
      </w:pPr>
      <w:r>
        <w:rPr/>
        <w:t xml:space="preserve">Aetna announced today it is rolling out what it calls a defined contribution health plan that gives employers more flexibility in product design and employees more control over their benefits.  The program, called Aetna HealthFund, couples a PPO-style plan with an employer-funded health savings account that will go toward the deductibles and can be rolled over at the end of the year. Annual PPO deductibles are expected to run from $1,500 to $3,000, while savings account maximums would start from about $500.  A flexible spending account, funded with employee pre-tax dollars will also be available, as is an online navigator allowing members to manage health and track expenditures on a personalized Web site. </w:t>
      </w:r>
    </w:p>
    <w:p>
      <w:pPr>
        <w:pStyle w:val="Header"/>
        <w:tabs>
          <w:tab w:val="clear" w:pos="4320"/>
          <w:tab w:val="clear" w:pos="8640"/>
        </w:tabs>
        <w:ind w:start="360" w:end="-360"/>
        <w:jc w:val="both"/>
        <w:rPr/>
      </w:pPr>
      <w:r>
        <w:rPr/>
      </w:r>
    </w:p>
    <w:p>
      <w:pPr>
        <w:pStyle w:val="Header"/>
        <w:ind w:start="360" w:end="-360"/>
        <w:jc w:val="both"/>
        <w:rPr>
          <w:b/>
          <w:bCs/>
          <w:u w:val="single"/>
        </w:rPr>
      </w:pPr>
      <w:r>
        <w:rPr>
          <w:b/>
          <w:bCs/>
          <w:u w:val="single"/>
        </w:rPr>
        <w:t>Vendors turning to 401(k) wealth preservation products</w:t>
      </w:r>
    </w:p>
    <w:p>
      <w:pPr>
        <w:pStyle w:val="Header"/>
        <w:ind w:start="360" w:end="-360"/>
        <w:jc w:val="both"/>
        <w:rPr/>
      </w:pPr>
      <w:r>
        <w:rPr/>
        <w:t xml:space="preserve">Some 51% of employees confronting unemployment or retirement cash out their 401(k)s, according to research from Hewitt Associates.  That's putting an onus on benefit vendors to field new products that help preserve wealth for 401(k) participants and their families. </w:t>
      </w:r>
    </w:p>
    <w:p>
      <w:pPr>
        <w:pStyle w:val="Header"/>
        <w:ind w:start="360" w:end="-360"/>
        <w:jc w:val="both"/>
        <w:rPr>
          <w:sz w:val="8"/>
        </w:rPr>
      </w:pPr>
      <w:r>
        <w:rPr>
          <w:sz w:val="8"/>
        </w:rPr>
      </w:r>
    </w:p>
    <w:p>
      <w:pPr>
        <w:pStyle w:val="Header"/>
        <w:ind w:start="360" w:end="-360"/>
        <w:jc w:val="both"/>
        <w:rPr/>
      </w:pPr>
      <w:r>
        <w:rPr/>
        <w:t xml:space="preserve">American Skandia just introduced "Plus40," an optional guaranteed-issue term life insurance rider issued in conjunction with its deferred variable annuities. The firm believes the rider, which is funded with after-tax dollars, will be a popular way to offset income taxes due at the death of the annuitant on rollovers from 401(k) and 403(b) plans, Tax-Sheltered Annuities, or IRAs.  Increased marketing for related products appears likely. </w:t>
      </w:r>
    </w:p>
    <w:p>
      <w:pPr>
        <w:pStyle w:val="Header"/>
        <w:ind w:start="360" w:end="-360"/>
        <w:jc w:val="both"/>
        <w:rPr>
          <w:sz w:val="22"/>
        </w:rPr>
      </w:pPr>
      <w:r>
        <w:rPr>
          <w:sz w:val="22"/>
        </w:rPr>
      </w:r>
    </w:p>
    <w:p>
      <w:pPr>
        <w:pStyle w:val="Header"/>
        <w:ind w:start="360" w:end="-360"/>
        <w:jc w:val="center"/>
        <w:rPr>
          <w:b/>
          <w:bCs/>
          <w:sz w:val="22"/>
          <w:u w:val="single"/>
        </w:rPr>
      </w:pPr>
      <w:r>
        <w:rPr>
          <w:b/>
          <w:bCs/>
          <w:sz w:val="22"/>
          <w:u w:val="single"/>
        </w:rPr>
        <w:t>Workforce News</w:t>
      </w:r>
    </w:p>
    <w:p>
      <w:pPr>
        <w:pStyle w:val="Header"/>
        <w:ind w:start="360" w:end="-360"/>
        <w:jc w:val="center"/>
        <w:rPr>
          <w:b/>
          <w:bCs/>
          <w:sz w:val="18"/>
          <w:u w:val="single"/>
        </w:rPr>
      </w:pPr>
      <w:r>
        <w:rPr>
          <w:b/>
          <w:bCs/>
          <w:sz w:val="18"/>
          <w:u w:val="single"/>
        </w:rPr>
      </w:r>
    </w:p>
    <w:p>
      <w:pPr>
        <w:pStyle w:val="Normal"/>
        <w:ind w:start="360" w:end="-360"/>
        <w:jc w:val="both"/>
        <w:rPr>
          <w:b/>
          <w:bCs/>
          <w:u w:val="single"/>
        </w:rPr>
      </w:pPr>
      <w:r>
        <w:rPr>
          <w:b/>
          <w:bCs/>
          <w:u w:val="single"/>
        </w:rPr>
        <w:t xml:space="preserve">Employee transfers affected by state of economy </w:t>
      </w:r>
    </w:p>
    <w:p>
      <w:pPr>
        <w:pStyle w:val="Normal"/>
        <w:ind w:start="360" w:end="-360"/>
        <w:jc w:val="both"/>
        <w:rPr/>
      </w:pPr>
      <w:r>
        <w:rPr/>
        <w:t xml:space="preserve">Constraints from the economy have directly affected the number of employee transfers, according to the Corporate Relocation Survey conducted by Atlas Van Lines.  Thirty-one percent of the 301 companies reported that external conditions affected their rate of employee transfers in 2000.  Of those, 85% cited the economy as the most significant factor contributing to this impact (up from 59% the prior year).  Forty-four percent pointed to the growth of domestic competition as an outside factor. </w:t>
      </w:r>
    </w:p>
    <w:p>
      <w:pPr>
        <w:pStyle w:val="Normal"/>
        <w:ind w:start="360" w:end="-360"/>
        <w:jc w:val="both"/>
        <w:rPr>
          <w:sz w:val="8"/>
        </w:rPr>
      </w:pPr>
      <w:r>
        <w:rPr>
          <w:sz w:val="8"/>
        </w:rPr>
      </w:r>
    </w:p>
    <w:p>
      <w:pPr>
        <w:pStyle w:val="Normal"/>
        <w:ind w:start="360" w:end="-360"/>
        <w:jc w:val="both"/>
        <w:rPr/>
      </w:pPr>
      <w:r>
        <w:rPr/>
        <w:t xml:space="preserve">In addition, 50% of companies indicate that at least one employee declined the opportunity to relocate in 2000 (up from 39%). The most mobile employees, according to 71% of respondents, ranged between the ages of 31 and 40. To help encourage relocation among employees, 88% of companies will hire the spouse of a transferred worker within their organization. </w:t>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t>Despite Widespread Layoffs, Companies Face Recruiting Challenges</w:t>
      </w:r>
    </w:p>
    <w:p>
      <w:pPr>
        <w:pStyle w:val="Header"/>
        <w:ind w:start="360" w:end="-360"/>
        <w:jc w:val="both"/>
        <w:rPr/>
      </w:pPr>
      <w:r>
        <w:rPr/>
        <w:t xml:space="preserve">Despite the number of individuals being ousted from their present positions, companies are contending with many recruitment challenges, says Wyatt Watson Worldwide.  The firm indicates that some of these may prove more difficult than those faced when the economy was booming. </w:t>
      </w:r>
    </w:p>
    <w:p>
      <w:pPr>
        <w:pStyle w:val="Header"/>
        <w:ind w:start="360" w:end="-360"/>
        <w:jc w:val="both"/>
        <w:rPr>
          <w:sz w:val="8"/>
        </w:rPr>
      </w:pPr>
      <w:r>
        <w:rPr>
          <w:sz w:val="8"/>
        </w:rPr>
      </w:r>
    </w:p>
    <w:p>
      <w:pPr>
        <w:pStyle w:val="Header"/>
        <w:ind w:start="360" w:end="-360"/>
        <w:jc w:val="both"/>
        <w:rPr>
          <w:sz w:val="8"/>
        </w:rPr>
      </w:pPr>
      <w:r>
        <w:rPr>
          <w:sz w:val="8"/>
        </w:rPr>
      </w:r>
    </w:p>
    <w:p>
      <w:pPr>
        <w:pStyle w:val="Header"/>
        <w:ind w:start="360" w:end="-360"/>
        <w:jc w:val="both"/>
        <w:rPr>
          <w:sz w:val="18"/>
        </w:rPr>
      </w:pPr>
      <w:r>
        <w:rPr>
          <w:sz w:val="18"/>
        </w:rPr>
      </w:r>
    </w:p>
    <w:p>
      <w:pPr>
        <w:pStyle w:val="Header"/>
        <w:ind w:start="360" w:end="-360"/>
        <w:jc w:val="both"/>
        <w:rPr/>
      </w:pPr>
      <w:r>
        <w:rPr/>
        <w:t xml:space="preserve">According to Watson Wyatt, one of the biggest challenges confronting companies may be a flood of unsolicited resumes.  While technology expedites the process for job seekers, companies may lack the resources--technological and otherwise--to handle a deluge of electronic submissions.  Employers must also attempt to identify the best candidates from among hundreds of applicants. </w:t>
      </w:r>
    </w:p>
    <w:p>
      <w:pPr>
        <w:pStyle w:val="Header"/>
        <w:ind w:start="360" w:end="-360"/>
        <w:jc w:val="both"/>
        <w:rPr>
          <w:sz w:val="10"/>
        </w:rPr>
      </w:pPr>
      <w:r>
        <w:rPr>
          <w:sz w:val="10"/>
        </w:rPr>
      </w:r>
    </w:p>
    <w:p>
      <w:pPr>
        <w:pStyle w:val="Header"/>
        <w:ind w:start="360" w:end="-360"/>
        <w:jc w:val="both"/>
        <w:rPr/>
      </w:pPr>
      <w:r>
        <w:rPr/>
        <w:t>Wyatt Watson reccomends the following steps:</w:t>
      </w:r>
    </w:p>
    <w:p>
      <w:pPr>
        <w:pStyle w:val="Header"/>
        <w:ind w:start="360" w:end="-360"/>
        <w:jc w:val="both"/>
        <w:rPr>
          <w:sz w:val="8"/>
        </w:rPr>
      </w:pPr>
      <w:r>
        <w:rPr>
          <w:sz w:val="8"/>
        </w:rPr>
      </w:r>
    </w:p>
    <w:p>
      <w:pPr>
        <w:pStyle w:val="Header"/>
        <w:numPr>
          <w:ilvl w:val="0"/>
          <w:numId w:val="3"/>
        </w:numPr>
        <w:ind w:hanging="0" w:start="360" w:end="-360"/>
        <w:jc w:val="both"/>
        <w:rPr/>
      </w:pPr>
      <w:r>
        <w:rPr/>
        <w:t>Applicant screening tools should be user friendly.  In order to get candidates to fill out online forms, the data entry process should take 20 minutes or less.</w:t>
      </w:r>
    </w:p>
    <w:p>
      <w:pPr>
        <w:pStyle w:val="Header"/>
        <w:ind w:start="360" w:end="-360"/>
        <w:jc w:val="both"/>
        <w:rPr>
          <w:sz w:val="8"/>
        </w:rPr>
      </w:pPr>
      <w:r>
        <w:rPr>
          <w:sz w:val="8"/>
        </w:rPr>
      </w:r>
    </w:p>
    <w:p>
      <w:pPr>
        <w:pStyle w:val="Header"/>
        <w:numPr>
          <w:ilvl w:val="0"/>
          <w:numId w:val="3"/>
        </w:numPr>
        <w:ind w:hanging="0" w:start="360" w:end="-360"/>
        <w:jc w:val="both"/>
        <w:rPr/>
      </w:pPr>
      <w:r>
        <w:rPr/>
        <w:t>Evaluation of advertising.  The more places a company posts, the more resumes it receives. And often the same resume will come in from several sources.</w:t>
      </w:r>
    </w:p>
    <w:p>
      <w:pPr>
        <w:pStyle w:val="Header"/>
        <w:ind w:start="360" w:end="-360"/>
        <w:jc w:val="both"/>
        <w:rPr>
          <w:sz w:val="8"/>
        </w:rPr>
      </w:pPr>
      <w:r>
        <w:rPr>
          <w:sz w:val="8"/>
        </w:rPr>
      </w:r>
    </w:p>
    <w:p>
      <w:pPr>
        <w:pStyle w:val="Header"/>
        <w:numPr>
          <w:ilvl w:val="0"/>
          <w:numId w:val="3"/>
        </w:numPr>
        <w:ind w:hanging="0" w:start="360" w:end="-360"/>
        <w:jc w:val="both"/>
        <w:rPr/>
      </w:pPr>
      <w:r>
        <w:rPr/>
        <w:t>Be cautious to the fact that more people are misrepresenting themselves</w:t>
      </w:r>
    </w:p>
    <w:p>
      <w:pPr>
        <w:pStyle w:val="Header"/>
        <w:ind w:start="360" w:end="-360"/>
        <w:jc w:val="both"/>
        <w:rPr>
          <w:sz w:val="8"/>
        </w:rPr>
      </w:pPr>
      <w:r>
        <w:rPr>
          <w:sz w:val="8"/>
        </w:rPr>
      </w:r>
    </w:p>
    <w:p>
      <w:pPr>
        <w:pStyle w:val="Header"/>
        <w:numPr>
          <w:ilvl w:val="0"/>
          <w:numId w:val="3"/>
        </w:numPr>
        <w:ind w:hanging="0" w:start="360" w:end="-360"/>
        <w:jc w:val="both"/>
        <w:rPr>
          <w:sz w:val="8"/>
        </w:rPr>
      </w:pPr>
      <w:r>
        <w:rPr/>
        <w:t xml:space="preserve">Despite the fact that passive candidates become more cautious, continue to pursue passive candiddates. To reach these potential hires, Watson Wyatt recommends that an organization implement a long-term employment branding campaign.  For this purpose, they advocate using the web.  </w:t>
      </w:r>
    </w:p>
    <w:p>
      <w:pPr>
        <w:pStyle w:val="Header"/>
        <w:ind w:start="360" w:end="-360"/>
        <w:jc w:val="both"/>
        <w:rPr>
          <w:sz w:val="8"/>
        </w:rPr>
      </w:pPr>
      <w:r>
        <w:rPr>
          <w:sz w:val="8"/>
        </w:rPr>
      </w:r>
    </w:p>
    <w:p>
      <w:pPr>
        <w:pStyle w:val="Header"/>
        <w:numPr>
          <w:ilvl w:val="0"/>
          <w:numId w:val="3"/>
        </w:numPr>
        <w:ind w:hanging="0" w:start="360" w:end="-360"/>
        <w:jc w:val="both"/>
        <w:rPr/>
      </w:pPr>
      <w:r>
        <w:rPr/>
        <w:t xml:space="preserve">Look at long-term employment needs.  </w:t>
      </w:r>
    </w:p>
    <w:p>
      <w:pPr>
        <w:pStyle w:val="Header"/>
        <w:ind w:start="360" w:end="-360"/>
        <w:jc w:val="both"/>
        <w:rPr>
          <w:sz w:val="8"/>
        </w:rPr>
      </w:pPr>
      <w:r>
        <w:rPr>
          <w:sz w:val="8"/>
        </w:rPr>
      </w:r>
    </w:p>
    <w:p>
      <w:pPr>
        <w:pStyle w:val="Header"/>
        <w:numPr>
          <w:ilvl w:val="0"/>
          <w:numId w:val="3"/>
        </w:numPr>
        <w:ind w:hanging="0" w:start="360" w:end="-360"/>
        <w:jc w:val="both"/>
        <w:rPr/>
      </w:pPr>
      <w:r>
        <w:rPr/>
        <w:t>Analyze the econmy - although media focus has been on a slowing economy, Watson Wyatt points out that, while there are many people looking for work, there is also a lot of hiring going on.  When analyzing the economy as a whole, it's important to realize there are several currents running through it.</w:t>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t>HR Job Market Takes A Hit</w:t>
      </w:r>
    </w:p>
    <w:p>
      <w:pPr>
        <w:pStyle w:val="Header"/>
        <w:ind w:start="360" w:end="-360"/>
        <w:jc w:val="both"/>
        <w:rPr/>
      </w:pPr>
      <w:r>
        <w:rPr/>
        <w:t>In recent months, layoffs, hiring freezes, company shutdowns and other activities that eliminate jobs have become commonplace.  Following is an analysis of  how HR professionals are faring:</w:t>
      </w:r>
    </w:p>
    <w:p>
      <w:pPr>
        <w:pStyle w:val="Header"/>
        <w:ind w:start="360" w:end="-360"/>
        <w:jc w:val="both"/>
        <w:rPr>
          <w:sz w:val="8"/>
        </w:rPr>
      </w:pPr>
      <w:r>
        <w:rPr>
          <w:sz w:val="8"/>
        </w:rPr>
      </w:r>
    </w:p>
    <w:p>
      <w:pPr>
        <w:pStyle w:val="Header"/>
        <w:ind w:start="360" w:end="-360"/>
        <w:jc w:val="both"/>
        <w:rPr/>
      </w:pPr>
      <w:r>
        <w:rPr/>
        <w:t xml:space="preserve">Eileen Finn, president of Eileen Finn and Associates, a New York-based recruiting firm specializing in HR, said that "this year started out very strong." However, she says, "around June we started to see indicators that demand was weakening." By July, she says, "things had really started to dry up." One company for which she was conducting four searches asked her to put the hunt for candidates on hold, at least temporarily. </w:t>
      </w:r>
    </w:p>
    <w:p>
      <w:pPr>
        <w:pStyle w:val="Header"/>
        <w:ind w:start="360" w:end="-360"/>
        <w:jc w:val="both"/>
        <w:rPr>
          <w:sz w:val="8"/>
        </w:rPr>
      </w:pPr>
      <w:r>
        <w:rPr>
          <w:sz w:val="8"/>
        </w:rPr>
      </w:r>
    </w:p>
    <w:p>
      <w:pPr>
        <w:pStyle w:val="Header"/>
        <w:ind w:start="360" w:end="-360"/>
        <w:jc w:val="both"/>
        <w:rPr/>
      </w:pPr>
      <w:r>
        <w:rPr/>
        <w:t xml:space="preserve">Kristin Bowl, a manager in the public affairs department at the Society for Human Resource Management, said that listings on the Society's HR Jobs web pages have declined significantly this year, when compared to last year. But, Bowl said, it's not clear what's causing the decline. "We can't be sure if it's because companies have fewer positions to advertise or fewer dollars with which to place advertisements," she said. </w:t>
      </w:r>
    </w:p>
    <w:p>
      <w:pPr>
        <w:pStyle w:val="Header"/>
        <w:ind w:start="360" w:end="-360"/>
        <w:jc w:val="both"/>
        <w:rPr>
          <w:sz w:val="8"/>
        </w:rPr>
      </w:pPr>
      <w:r>
        <w:rPr>
          <w:sz w:val="8"/>
        </w:rPr>
      </w:r>
    </w:p>
    <w:p>
      <w:pPr>
        <w:pStyle w:val="Header"/>
        <w:ind w:start="360" w:end="-360"/>
        <w:jc w:val="both"/>
        <w:rPr/>
      </w:pPr>
      <w:r>
        <w:rPr/>
        <w:t xml:space="preserve">Contract HR jobs also appear to be a little more scarce. Beth Miller, the Boston-based vice president of the HR contract division of Kforce, said that "last year was a banner year, but starting in March we started to see a lot more candidates available in the market." She has been shocked, she says, "at how dramatic and fast the drop has been." </w:t>
      </w:r>
    </w:p>
    <w:p>
      <w:pPr>
        <w:pStyle w:val="Header"/>
        <w:ind w:start="360" w:end="-360"/>
        <w:jc w:val="both"/>
        <w:rPr>
          <w:sz w:val="8"/>
        </w:rPr>
      </w:pPr>
      <w:r>
        <w:rPr>
          <w:sz w:val="8"/>
        </w:rPr>
      </w:r>
    </w:p>
    <w:p>
      <w:pPr>
        <w:pStyle w:val="Header"/>
        <w:ind w:start="360" w:end="-360"/>
        <w:jc w:val="both"/>
        <w:rPr>
          <w:b/>
          <w:bCs/>
        </w:rPr>
      </w:pPr>
      <w:r>
        <w:rPr>
          <w:b/>
          <w:bCs/>
        </w:rPr>
        <w:t>Long-term outlook</w:t>
      </w:r>
    </w:p>
    <w:p>
      <w:pPr>
        <w:pStyle w:val="Header"/>
        <w:ind w:start="360" w:end="-360"/>
        <w:jc w:val="both"/>
        <w:rPr>
          <w:b/>
          <w:bCs/>
          <w:sz w:val="8"/>
        </w:rPr>
      </w:pPr>
      <w:r>
        <w:rPr>
          <w:b/>
          <w:bCs/>
          <w:sz w:val="8"/>
        </w:rPr>
      </w:r>
    </w:p>
    <w:p>
      <w:pPr>
        <w:pStyle w:val="Header"/>
        <w:ind w:start="360" w:end="-360"/>
        <w:jc w:val="both"/>
        <w:rPr/>
      </w:pPr>
      <w:r>
        <w:rPr/>
        <w:t xml:space="preserve">The long-term outlook for HR hiring is good, according to the U.S. Bureau of Labor Statistics. Employment of human resources, training, and labor relations specialists and managers is expected to grow about as fast as the average for all occupations through 2008, according to the agencies occupational outlook research. </w:t>
      </w:r>
    </w:p>
    <w:p>
      <w:pPr>
        <w:pStyle w:val="Header"/>
        <w:ind w:start="360" w:end="-360"/>
        <w:jc w:val="both"/>
        <w:rPr>
          <w:sz w:val="8"/>
        </w:rPr>
      </w:pPr>
      <w:r>
        <w:rPr>
          <w:sz w:val="8"/>
        </w:rPr>
      </w:r>
    </w:p>
    <w:p>
      <w:pPr>
        <w:pStyle w:val="Header"/>
        <w:ind w:start="360" w:end="-360"/>
        <w:jc w:val="both"/>
        <w:rPr/>
      </w:pPr>
      <w:r>
        <w:rPr/>
        <w:t>According to BLS, one of the primary factors contributing to the anticipated growth in HR employment is the proliferation of legislation and court rulings governing employment. In addition, rising health care costs should spur demand for specialists to develop creative compensation and benefits packages that firms can offer prospective employees. Finally, as the emphasis on mediation and arbitration as substitutes for litigation grows, employment of labor relations staff, including arbitrators and mediators, is likely to grow as employers attempt to resolve costly suits out of court.</w:t>
      </w:r>
    </w:p>
    <w:p>
      <w:pPr>
        <w:pStyle w:val="Header"/>
        <w:ind w:start="360" w:end="-360"/>
        <w:jc w:val="both"/>
        <w:rPr>
          <w:sz w:val="8"/>
        </w:rPr>
      </w:pPr>
      <w:r>
        <w:rPr>
          <w:sz w:val="8"/>
        </w:rPr>
      </w:r>
    </w:p>
    <w:p>
      <w:pPr>
        <w:pStyle w:val="Header"/>
        <w:ind w:start="360" w:end="-360"/>
        <w:jc w:val="both"/>
        <w:rPr/>
      </w:pPr>
      <w:r>
        <w:rPr/>
        <w:t xml:space="preserve">One thing that hasn't changed is the type of person companies are looking for when filling HR positions.  They are still looking for the new breed of HR professional. They want someone who can understand business needs in collaboration with HR needs. </w:t>
      </w:r>
    </w:p>
    <w:p>
      <w:pPr>
        <w:pStyle w:val="Normal"/>
        <w:ind w:start="360" w:end="-360"/>
        <w:jc w:val="both"/>
        <w:rPr>
          <w:b/>
          <w:bCs/>
          <w:sz w:val="18"/>
          <w:u w:val="single"/>
        </w:rPr>
      </w:pPr>
      <w:r>
        <w:rPr>
          <w:b/>
          <w:bCs/>
          <w:sz w:val="18"/>
          <w:u w:val="single"/>
        </w:rPr>
      </w:r>
    </w:p>
    <w:p>
      <w:pPr>
        <w:pStyle w:val="Header"/>
        <w:ind w:start="360" w:end="-360"/>
        <w:jc w:val="both"/>
        <w:rPr>
          <w:b/>
          <w:bCs/>
          <w:u w:val="single"/>
        </w:rPr>
      </w:pPr>
      <w:r>
        <w:rPr>
          <w:b/>
          <w:bCs/>
          <w:u w:val="single"/>
        </w:rPr>
        <w:t xml:space="preserve">Layoff survivors climb ladder faster </w:t>
      </w:r>
    </w:p>
    <w:p>
      <w:pPr>
        <w:pStyle w:val="Header"/>
        <w:ind w:start="360" w:end="-360"/>
        <w:jc w:val="both"/>
        <w:rPr/>
      </w:pPr>
      <w:r>
        <w:rPr/>
        <w:t>There's an upside to this economic downslide: Some employees are advancing up the career ladder as their colleagues get laid off.</w:t>
      </w:r>
    </w:p>
    <w:p>
      <w:pPr>
        <w:pStyle w:val="Header"/>
        <w:ind w:start="360" w:end="-360"/>
        <w:jc w:val="both"/>
        <w:rPr>
          <w:sz w:val="8"/>
        </w:rPr>
      </w:pPr>
      <w:r>
        <w:rPr>
          <w:sz w:val="8"/>
        </w:rPr>
      </w:r>
    </w:p>
    <w:p>
      <w:pPr>
        <w:pStyle w:val="Header"/>
        <w:ind w:start="360" w:end="-360"/>
        <w:jc w:val="both"/>
        <w:rPr/>
      </w:pPr>
      <w:r>
        <w:rPr/>
        <w:t>They're getting promoted or taking on new job responsibilities because downsizing has created more room at the top. Middle managers are becoming top-level executives, while rank-and-file employees are suddenly being catapulted into supervisory roles.</w:t>
      </w:r>
    </w:p>
    <w:p>
      <w:pPr>
        <w:pStyle w:val="Header"/>
        <w:ind w:start="360" w:end="-360"/>
        <w:jc w:val="both"/>
        <w:rPr>
          <w:sz w:val="8"/>
        </w:rPr>
      </w:pPr>
      <w:r>
        <w:rPr>
          <w:sz w:val="8"/>
        </w:rPr>
      </w:r>
    </w:p>
    <w:p>
      <w:pPr>
        <w:pStyle w:val="Header"/>
        <w:ind w:start="360" w:end="-360"/>
        <w:jc w:val="both"/>
        <w:rPr/>
      </w:pPr>
      <w:r>
        <w:rPr/>
        <w:t>''It's a mixed blessing,'' says Barry Lawrence of CareerBuilder, a provider of online job listings and career advice. ''There are negatives, but there are also many positives. When there are layoffs, those left behind get more chances to spread their wings and apply new skills. There are much more opportunities.''</w:t>
      </w:r>
    </w:p>
    <w:p>
      <w:pPr>
        <w:pStyle w:val="Header"/>
        <w:ind w:start="360" w:end="-360"/>
        <w:jc w:val="both"/>
        <w:rPr>
          <w:sz w:val="8"/>
        </w:rPr>
      </w:pPr>
      <w:r>
        <w:rPr>
          <w:sz w:val="8"/>
        </w:rPr>
      </w:r>
    </w:p>
    <w:p>
      <w:pPr>
        <w:pStyle w:val="Header"/>
        <w:ind w:start="360" w:end="-360"/>
        <w:jc w:val="both"/>
        <w:rPr/>
      </w:pPr>
      <w:r>
        <w:rPr/>
        <w:t>The advancement can mean:</w:t>
      </w:r>
    </w:p>
    <w:p>
      <w:pPr>
        <w:pStyle w:val="Header"/>
        <w:ind w:start="360" w:end="-360"/>
        <w:jc w:val="both"/>
        <w:rPr>
          <w:sz w:val="10"/>
        </w:rPr>
      </w:pPr>
      <w:r>
        <w:rPr>
          <w:sz w:val="10"/>
        </w:rPr>
      </w:r>
    </w:p>
    <w:p>
      <w:pPr>
        <w:pStyle w:val="Header"/>
        <w:numPr>
          <w:ilvl w:val="0"/>
          <w:numId w:val="6"/>
        </w:numPr>
        <w:tabs>
          <w:tab w:val="left" w:pos="720" w:leader="none"/>
          <w:tab w:val="center" w:pos="4320" w:leader="none"/>
          <w:tab w:val="right" w:pos="8640" w:leader="none"/>
        </w:tabs>
        <w:ind w:hanging="0" w:start="360" w:end="-360"/>
        <w:jc w:val="both"/>
        <w:rPr/>
      </w:pPr>
      <w:r>
        <w:rPr/>
        <w:t xml:space="preserve">More work. </w:t>
      </w:r>
    </w:p>
    <w:p>
      <w:pPr>
        <w:pStyle w:val="Header"/>
        <w:numPr>
          <w:ilvl w:val="0"/>
          <w:numId w:val="6"/>
        </w:numPr>
        <w:tabs>
          <w:tab w:val="left" w:pos="720" w:leader="none"/>
          <w:tab w:val="center" w:pos="4320" w:leader="none"/>
          <w:tab w:val="right" w:pos="8640" w:leader="none"/>
        </w:tabs>
        <w:ind w:hanging="0" w:start="360" w:end="-360"/>
        <w:jc w:val="both"/>
        <w:rPr/>
      </w:pPr>
      <w:r>
        <w:rPr/>
        <w:t>More experience</w:t>
      </w:r>
    </w:p>
    <w:p>
      <w:pPr>
        <w:pStyle w:val="Header"/>
        <w:numPr>
          <w:ilvl w:val="0"/>
          <w:numId w:val="6"/>
        </w:numPr>
        <w:tabs>
          <w:tab w:val="left" w:pos="720" w:leader="none"/>
          <w:tab w:val="center" w:pos="4320" w:leader="none"/>
          <w:tab w:val="right" w:pos="8640" w:leader="none"/>
        </w:tabs>
        <w:ind w:hanging="0" w:start="360" w:end="-360"/>
        <w:jc w:val="both"/>
        <w:rPr/>
      </w:pPr>
      <w:r>
        <w:rPr/>
        <w:t>New challenges</w:t>
      </w:r>
    </w:p>
    <w:p>
      <w:pPr>
        <w:pStyle w:val="Header"/>
        <w:ind w:start="360" w:end="-360"/>
        <w:jc w:val="both"/>
        <w:rPr>
          <w:rFonts w:eastAsia="Tahoma"/>
          <w:sz w:val="10"/>
        </w:rPr>
      </w:pPr>
      <w:r>
        <w:rPr>
          <w:rFonts w:eastAsia="Tahoma"/>
          <w:sz w:val="10"/>
        </w:rPr>
        <w:t xml:space="preserve"> </w:t>
      </w:r>
    </w:p>
    <w:p>
      <w:pPr>
        <w:pStyle w:val="Header"/>
        <w:ind w:start="360" w:end="-360"/>
        <w:jc w:val="both"/>
        <w:rPr>
          <w:b/>
          <w:bCs/>
          <w:u w:val="single"/>
        </w:rPr>
      </w:pPr>
      <w:r>
        <w:rPr/>
        <w:t>Opportunities also are coming at firms that have dodged layoffs but imposed hiring freezes, giving employees more responsibility</w:t>
      </w:r>
    </w:p>
    <w:p>
      <w:pPr>
        <w:pStyle w:val="Header"/>
        <w:ind w:start="360" w:end="-360"/>
        <w:jc w:val="both"/>
        <w:rPr/>
      </w:pPr>
      <w:hyperlink r:id="rId8">
        <w:r>
          <w:rPr>
            <w:rStyle w:val="Hyperlink"/>
          </w:rPr>
          <w:t>Link to Full Text of Article</w:t>
        </w:r>
      </w:hyperlink>
    </w:p>
    <w:p>
      <w:pPr>
        <w:pStyle w:val="Normal"/>
        <w:ind w:start="360" w:end="-360"/>
        <w:jc w:val="both"/>
        <w:rPr/>
      </w:pPr>
      <w:r>
        <w:rPr/>
      </w:r>
    </w:p>
    <w:p>
      <w:pPr>
        <w:pStyle w:val="Normal"/>
        <w:ind w:start="360" w:end="-360"/>
        <w:jc w:val="both"/>
        <w:rPr>
          <w:b/>
          <w:bCs/>
          <w:u w:val="single"/>
        </w:rPr>
      </w:pPr>
      <w:r>
        <w:rPr>
          <w:b/>
          <w:bCs/>
          <w:u w:val="single"/>
        </w:rPr>
        <w:t xml:space="preserve">Unemployment taxes rising with state's jobless claims </w:t>
      </w:r>
    </w:p>
    <w:p>
      <w:pPr>
        <w:pStyle w:val="Normal"/>
        <w:ind w:start="360" w:end="-360"/>
        <w:jc w:val="both"/>
        <w:rPr/>
      </w:pPr>
      <w:r>
        <w:rPr/>
        <w:t xml:space="preserve">Unemployment taxes for Texas employers will rise in January to cover a deficit of $109.7 million in the Unemployment Compensation Trust Fund.  Employers also can prepare for general unemployment taxes to rise as well, but the amount needed to cover increased unemployment has not yet been figured. </w:t>
      </w:r>
    </w:p>
    <w:p>
      <w:pPr>
        <w:pStyle w:val="Normal"/>
        <w:ind w:start="360" w:end="-360"/>
        <w:jc w:val="both"/>
        <w:rPr>
          <w:sz w:val="8"/>
        </w:rPr>
      </w:pPr>
      <w:r>
        <w:rPr>
          <w:sz w:val="8"/>
        </w:rPr>
      </w:r>
    </w:p>
    <w:p>
      <w:pPr>
        <w:pStyle w:val="Normal"/>
        <w:ind w:start="360" w:end="-360"/>
        <w:jc w:val="both"/>
        <w:rPr/>
      </w:pPr>
      <w:r>
        <w:rPr/>
        <w:t xml:space="preserve">Rising unemployment claims, particularly those filed by upper-income technology workers, have battered the state's unemployment fund.  Unemployment benefit payments have risen from $282 million in the first quarter of this year to a projected $443 million for the fourth quarter, according to the Texas Workforce Commission. </w:t>
      </w:r>
    </w:p>
    <w:p>
      <w:pPr>
        <w:pStyle w:val="Normal"/>
        <w:ind w:start="360" w:end="-360"/>
        <w:jc w:val="both"/>
        <w:rPr>
          <w:sz w:val="8"/>
        </w:rPr>
      </w:pPr>
      <w:r>
        <w:rPr>
          <w:sz w:val="8"/>
        </w:rPr>
      </w:r>
    </w:p>
    <w:p>
      <w:pPr>
        <w:pStyle w:val="Normal"/>
        <w:ind w:start="360" w:end="-360"/>
        <w:jc w:val="both"/>
        <w:rPr/>
      </w:pPr>
      <w:r>
        <w:rPr/>
        <w:t xml:space="preserve">Larry Jones, communications director for the Workforce Commission, said the commission is projecting that a 0.11 percent deficit tax will be levied on state employers in January. He said a general unemployment tax increase will be needed to keep the fund solvent in the face of rising unemployment.  Texas companies were expected to pay an average of $84.60 in unemployment tax on each worker this year. </w:t>
      </w:r>
    </w:p>
    <w:p>
      <w:pPr>
        <w:pStyle w:val="Normal"/>
        <w:ind w:start="360" w:end="-360"/>
        <w:jc w:val="both"/>
        <w:rPr/>
      </w:pPr>
      <w:r>
        <w:rPr/>
      </w:r>
    </w:p>
    <w:p>
      <w:pPr>
        <w:pStyle w:val="Header"/>
        <w:ind w:start="360" w:end="-360"/>
        <w:jc w:val="both"/>
        <w:rPr>
          <w:b/>
          <w:bCs/>
          <w:u w:val="single"/>
        </w:rPr>
      </w:pPr>
      <w:r>
        <w:rPr>
          <w:b/>
          <w:bCs/>
          <w:u w:val="single"/>
        </w:rPr>
        <w:t>Managers want career development, not more money</w:t>
      </w:r>
    </w:p>
    <w:p>
      <w:pPr>
        <w:pStyle w:val="Header"/>
        <w:ind w:start="360" w:end="-360"/>
        <w:jc w:val="both"/>
        <w:rPr/>
      </w:pPr>
      <w:r>
        <w:rPr/>
        <w:t xml:space="preserve">Just nine per cent of managers cite improved pay as the main reason for changing jobs, a new recruitment and retention survey has revealed. Career development, not greater financial reward, is the most important reason for managerial staff leaving an employer, according to research by MCG, the HR benchmarking specialists. </w:t>
      </w:r>
    </w:p>
    <w:p>
      <w:pPr>
        <w:pStyle w:val="Header"/>
        <w:ind w:start="360" w:end="-360"/>
        <w:jc w:val="both"/>
        <w:rPr>
          <w:sz w:val="8"/>
        </w:rPr>
      </w:pPr>
      <w:r>
        <w:rPr>
          <w:sz w:val="8"/>
        </w:rPr>
      </w:r>
    </w:p>
    <w:p>
      <w:pPr>
        <w:pStyle w:val="Header"/>
        <w:ind w:start="360" w:end="-360"/>
        <w:jc w:val="both"/>
        <w:rPr>
          <w:b/>
          <w:bCs/>
          <w:u w:val="single"/>
        </w:rPr>
      </w:pPr>
      <w:r>
        <w:rPr/>
        <w:t>More than half the employers surveyed said managers moved on because the business offered them limited opportunities to progress. The other major reasons for professionals leaving are the need for new challenges (20 per cent) and the lack of development opportunities (13 per cent).</w:t>
      </w:r>
    </w:p>
    <w:p>
      <w:pPr>
        <w:pStyle w:val="Normal"/>
        <w:ind w:start="360" w:end="-360"/>
        <w:jc w:val="both"/>
        <w:rPr>
          <w:b/>
          <w:bCs/>
          <w:u w:val="single"/>
        </w:rPr>
      </w:pPr>
      <w:r>
        <w:rPr>
          <w:b/>
          <w:bCs/>
          <w:u w:val="single"/>
        </w:rPr>
      </w:r>
    </w:p>
    <w:p>
      <w:pPr>
        <w:pStyle w:val="Header"/>
        <w:ind w:start="360" w:end="-360"/>
        <w:jc w:val="both"/>
        <w:rPr>
          <w:b/>
          <w:bCs/>
          <w:u w:val="single"/>
        </w:rPr>
      </w:pPr>
      <w:r>
        <w:rPr>
          <w:b/>
          <w:bCs/>
          <w:u w:val="single"/>
        </w:rPr>
        <w:t>Redefining 'Independent Contractor'</w:t>
      </w:r>
    </w:p>
    <w:p>
      <w:pPr>
        <w:pStyle w:val="Header"/>
        <w:ind w:start="360" w:end="-360"/>
        <w:jc w:val="both"/>
        <w:rPr/>
      </w:pPr>
      <w:r>
        <w:rPr/>
        <w:t xml:space="preserve">Bills have been introduced in the U.S. Senate and House of Representatives with the aim of helping employers distinguish more easily between employees and independent contractors. </w:t>
      </w:r>
    </w:p>
    <w:p>
      <w:pPr>
        <w:pStyle w:val="Header"/>
        <w:ind w:start="360" w:end="-360"/>
        <w:jc w:val="both"/>
        <w:rPr>
          <w:sz w:val="8"/>
        </w:rPr>
      </w:pPr>
      <w:r>
        <w:rPr>
          <w:sz w:val="8"/>
        </w:rPr>
      </w:r>
    </w:p>
    <w:p>
      <w:pPr>
        <w:pStyle w:val="Header"/>
        <w:ind w:start="360" w:end="-360"/>
        <w:jc w:val="both"/>
        <w:rPr/>
      </w:pPr>
      <w:r>
        <w:rPr/>
        <w:t xml:space="preserve">U.S. Sen. Christopher Bond, R-Mo., introduced the Senate bill, S837. U.S. Rep. Donald Manzullo, R-Ill., introduced a companion bill in the House. Both are called the Independent Contractor Determination Act of 2001. </w:t>
      </w:r>
    </w:p>
    <w:p>
      <w:pPr>
        <w:pStyle w:val="Header"/>
        <w:ind w:start="360" w:end="-360"/>
        <w:jc w:val="both"/>
        <w:rPr>
          <w:sz w:val="8"/>
        </w:rPr>
      </w:pPr>
      <w:r>
        <w:rPr>
          <w:sz w:val="8"/>
        </w:rPr>
      </w:r>
    </w:p>
    <w:p>
      <w:pPr>
        <w:pStyle w:val="Header"/>
        <w:ind w:start="360" w:end="-360"/>
        <w:jc w:val="both"/>
        <w:rPr/>
      </w:pPr>
      <w:r>
        <w:rPr/>
        <w:t xml:space="preserve">The bills call for replacing the 20-factor test the Internal Revenue Service (IRS) now uses to determine a worker’s status. In its place would go a set of "safe harbor" rules. Those who meet the rules would not be classified as employees. </w:t>
      </w:r>
    </w:p>
    <w:p>
      <w:pPr>
        <w:pStyle w:val="Header"/>
        <w:ind w:start="360" w:end="-360"/>
        <w:jc w:val="both"/>
        <w:rPr>
          <w:sz w:val="8"/>
        </w:rPr>
      </w:pPr>
      <w:r>
        <w:rPr>
          <w:sz w:val="8"/>
        </w:rPr>
      </w:r>
    </w:p>
    <w:p>
      <w:pPr>
        <w:pStyle w:val="Header"/>
        <w:ind w:start="360" w:end="-360"/>
        <w:jc w:val="both"/>
        <w:rPr>
          <w:sz w:val="8"/>
        </w:rPr>
      </w:pPr>
      <w:r>
        <w:rPr>
          <w:sz w:val="8"/>
        </w:rPr>
      </w:r>
    </w:p>
    <w:p>
      <w:pPr>
        <w:pStyle w:val="Header"/>
        <w:ind w:start="360" w:end="-360"/>
        <w:jc w:val="both"/>
        <w:rPr>
          <w:sz w:val="18"/>
        </w:rPr>
      </w:pPr>
      <w:r>
        <w:rPr>
          <w:sz w:val="18"/>
        </w:rPr>
      </w:r>
    </w:p>
    <w:p>
      <w:pPr>
        <w:pStyle w:val="Header"/>
        <w:ind w:start="360" w:end="-360"/>
        <w:jc w:val="both"/>
        <w:rPr/>
      </w:pPr>
      <w:r>
        <w:rPr/>
        <w:t xml:space="preserve">Specifically, the bills would amend the tax code by adding Section 3511, which would state that a worker would not be treated as an employee if three conditions are met: </w:t>
      </w:r>
    </w:p>
    <w:p>
      <w:pPr>
        <w:pStyle w:val="Header"/>
        <w:ind w:start="360" w:end="-360"/>
        <w:jc w:val="both"/>
        <w:rPr>
          <w:sz w:val="8"/>
        </w:rPr>
      </w:pPr>
      <w:r>
        <w:rPr>
          <w:sz w:val="8"/>
        </w:rPr>
      </w:r>
    </w:p>
    <w:p>
      <w:pPr>
        <w:pStyle w:val="Header"/>
        <w:numPr>
          <w:ilvl w:val="0"/>
          <w:numId w:val="2"/>
        </w:numPr>
        <w:tabs>
          <w:tab w:val="left" w:pos="720" w:leader="none"/>
          <w:tab w:val="center" w:pos="4320" w:leader="none"/>
          <w:tab w:val="right" w:pos="8640" w:leader="none"/>
        </w:tabs>
        <w:ind w:hanging="0" w:start="360" w:end="-360"/>
        <w:jc w:val="both"/>
        <w:rPr/>
      </w:pPr>
      <w:r>
        <w:rPr/>
        <w:t xml:space="preserve">The worker can realize a profit or a loss from his or her work, agrees to complete services in a specific amount of time or complete a specific task, and has either a significant investment in assets or incurs a percentage of unreimbursed expenses. </w:t>
      </w:r>
    </w:p>
    <w:p>
      <w:pPr>
        <w:pStyle w:val="Header"/>
        <w:ind w:start="360" w:end="-360"/>
        <w:jc w:val="both"/>
        <w:rPr>
          <w:sz w:val="8"/>
        </w:rPr>
      </w:pPr>
      <w:r>
        <w:rPr>
          <w:sz w:val="8"/>
        </w:rPr>
      </w:r>
    </w:p>
    <w:p>
      <w:pPr>
        <w:pStyle w:val="Header"/>
        <w:numPr>
          <w:ilvl w:val="0"/>
          <w:numId w:val="2"/>
        </w:numPr>
        <w:tabs>
          <w:tab w:val="left" w:pos="720" w:leader="none"/>
          <w:tab w:val="center" w:pos="4320" w:leader="none"/>
          <w:tab w:val="right" w:pos="8640" w:leader="none"/>
        </w:tabs>
        <w:ind w:hanging="0" w:start="360" w:end="-360"/>
        <w:jc w:val="both"/>
        <w:rPr/>
      </w:pPr>
      <w:r>
        <w:rPr/>
        <w:t xml:space="preserve">The worker has a principal place of business and is not primarily located at one employer’s place of business. </w:t>
      </w:r>
    </w:p>
    <w:p>
      <w:pPr>
        <w:pStyle w:val="Header"/>
        <w:ind w:start="360" w:end="-360"/>
        <w:jc w:val="both"/>
        <w:rPr>
          <w:sz w:val="8"/>
        </w:rPr>
      </w:pPr>
      <w:r>
        <w:rPr>
          <w:sz w:val="8"/>
        </w:rPr>
      </w:r>
    </w:p>
    <w:p>
      <w:pPr>
        <w:pStyle w:val="Header"/>
        <w:numPr>
          <w:ilvl w:val="0"/>
          <w:numId w:val="2"/>
        </w:numPr>
        <w:tabs>
          <w:tab w:val="left" w:pos="720" w:leader="none"/>
          <w:tab w:val="center" w:pos="4320" w:leader="none"/>
          <w:tab w:val="right" w:pos="8640" w:leader="none"/>
        </w:tabs>
        <w:ind w:hanging="0" w:start="360" w:end="-360"/>
        <w:jc w:val="both"/>
        <w:rPr/>
      </w:pPr>
      <w:r>
        <w:rPr/>
        <w:t>The work is performed on the basis of a written contract.</w:t>
      </w:r>
    </w:p>
    <w:p>
      <w:pPr>
        <w:pStyle w:val="Header"/>
        <w:ind w:start="360" w:end="-360"/>
        <w:jc w:val="both"/>
        <w:rPr>
          <w:sz w:val="8"/>
        </w:rPr>
      </w:pPr>
      <w:r>
        <w:rPr>
          <w:sz w:val="8"/>
        </w:rPr>
      </w:r>
    </w:p>
    <w:p>
      <w:pPr>
        <w:pStyle w:val="Normal"/>
        <w:ind w:start="360" w:end="-360"/>
        <w:jc w:val="both"/>
        <w:rPr>
          <w:b/>
          <w:bCs/>
          <w:sz w:val="22"/>
          <w:u w:val="single"/>
        </w:rPr>
      </w:pPr>
      <w:r>
        <w:rPr>
          <w:b/>
          <w:bCs/>
          <w:sz w:val="22"/>
          <w:u w:val="single"/>
        </w:rPr>
      </w:r>
    </w:p>
    <w:p>
      <w:pPr>
        <w:pStyle w:val="Normal"/>
        <w:ind w:start="360" w:end="-360"/>
        <w:jc w:val="center"/>
        <w:rPr>
          <w:b/>
          <w:bCs/>
          <w:sz w:val="22"/>
          <w:u w:val="single"/>
        </w:rPr>
      </w:pPr>
      <w:r>
        <w:rPr>
          <w:b/>
          <w:bCs/>
          <w:sz w:val="22"/>
          <w:u w:val="single"/>
        </w:rPr>
        <w:t>IT HR News</w:t>
      </w:r>
    </w:p>
    <w:p>
      <w:pPr>
        <w:pStyle w:val="Normal"/>
        <w:ind w:start="360" w:end="-360"/>
        <w:jc w:val="center"/>
        <w:rPr>
          <w:b/>
          <w:bCs/>
          <w:sz w:val="18"/>
          <w:u w:val="single"/>
        </w:rPr>
      </w:pPr>
      <w:r>
        <w:rPr>
          <w:b/>
          <w:bCs/>
          <w:sz w:val="18"/>
          <w:u w:val="single"/>
        </w:rPr>
      </w:r>
    </w:p>
    <w:p>
      <w:pPr>
        <w:pStyle w:val="Header"/>
        <w:ind w:start="360" w:end="-360"/>
        <w:jc w:val="both"/>
        <w:rPr>
          <w:b/>
          <w:bCs/>
          <w:u w:val="single"/>
        </w:rPr>
      </w:pPr>
      <w:r>
        <w:rPr>
          <w:b/>
          <w:bCs/>
          <w:u w:val="single"/>
        </w:rPr>
        <w:t>Despite Cooling Economy, IT Workers Still Seeing Big Raise</w:t>
      </w:r>
    </w:p>
    <w:p>
      <w:pPr>
        <w:pStyle w:val="Header"/>
        <w:ind w:start="360" w:end="-360"/>
        <w:jc w:val="both"/>
        <w:rPr/>
      </w:pPr>
      <w:r>
        <w:rPr/>
        <w:t>IT professionals with "hot" skills (skills in short supply and high demand, resulting in rapid changes in market value) are still receiving pay and perks comparable to -- if not higher than -- past years, according to the new Hewitt Associates 2001 U.S. HOT Technologies Survey.</w:t>
      </w:r>
    </w:p>
    <w:p>
      <w:pPr>
        <w:pStyle w:val="Header"/>
        <w:ind w:start="360" w:end="-360"/>
        <w:jc w:val="both"/>
        <w:rPr>
          <w:sz w:val="8"/>
        </w:rPr>
      </w:pPr>
      <w:r>
        <w:rPr>
          <w:sz w:val="8"/>
        </w:rPr>
      </w:r>
    </w:p>
    <w:p>
      <w:pPr>
        <w:pStyle w:val="Header"/>
        <w:ind w:start="360" w:end="-360"/>
        <w:jc w:val="both"/>
        <w:rPr/>
      </w:pPr>
      <w:r>
        <w:rPr/>
        <w:t xml:space="preserve">As for other types of compensation, approximately 61% of these hot skill employees received a bonus, which, on average, equaled 13% of base pay. The most common types of bonuses were planned individual (36%) and group incentive (30%). Meanwhile, 15% of employees received a long-term incentive such as stock options or grants. On average, the Fair Market Value of these incentives equaled 82% of base pay. </w:t>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t>Why IT Employees Leave</w:t>
      </w:r>
    </w:p>
    <w:p>
      <w:pPr>
        <w:pStyle w:val="BodyText2"/>
        <w:autoSpaceDE w:val="true"/>
        <w:ind w:start="360" w:end="-360"/>
        <w:rPr/>
      </w:pPr>
      <w:r>
        <w:rPr/>
        <w:t>Why do IT employees leave? Here are the most common reasons, according to a survey by people³, a Gartner company:</w:t>
      </w:r>
    </w:p>
    <w:p>
      <w:pPr>
        <w:pStyle w:val="BodyText2"/>
        <w:autoSpaceDE w:val="true"/>
        <w:ind w:start="360" w:end="-360"/>
        <w:rPr>
          <w:sz w:val="10"/>
        </w:rPr>
      </w:pPr>
      <w:r>
        <w:rPr>
          <w:sz w:val="10"/>
        </w:rPr>
      </w:r>
    </w:p>
    <w:tbl>
      <w:tblPr>
        <w:tblW w:w="10290" w:type="dxa"/>
        <w:jc w:val="start"/>
        <w:tblInd w:w="-15" w:type="dxa"/>
        <w:tblLayout w:type="fixed"/>
        <w:tblCellMar>
          <w:top w:w="15" w:type="dxa"/>
          <w:start w:w="15" w:type="dxa"/>
          <w:bottom w:w="15" w:type="dxa"/>
          <w:end w:w="15" w:type="dxa"/>
        </w:tblCellMar>
      </w:tblPr>
      <w:tblGrid>
        <w:gridCol w:w="10290"/>
      </w:tblGrid>
      <w:tr>
        <w:trPr>
          <w:trHeight w:val="6009" w:hRule="atLeast"/>
        </w:trPr>
        <w:tc>
          <w:tcPr>
            <w:tcW w:w="10290" w:type="dxa"/>
            <w:tcBorders/>
            <w:shd w:fill="800000" w:val="clear"/>
            <w:vAlign w:val="center"/>
          </w:tcPr>
          <w:tbl>
            <w:tblPr>
              <w:tblW w:w="4900" w:type="pct"/>
              <w:jc w:val="center"/>
              <w:tblInd w:w="0" w:type="dxa"/>
              <w:tblLayout w:type="fixed"/>
              <w:tblCellMar>
                <w:top w:w="30" w:type="dxa"/>
                <w:start w:w="30" w:type="dxa"/>
                <w:bottom w:w="30" w:type="dxa"/>
                <w:end w:w="30" w:type="dxa"/>
              </w:tblCellMar>
            </w:tblPr>
            <w:tblGrid>
              <w:gridCol w:w="6304"/>
              <w:gridCol w:w="3750"/>
            </w:tblGrid>
            <w:tr>
              <w:trPr>
                <w:trHeight w:val="529" w:hRule="atLeast"/>
              </w:trPr>
              <w:tc>
                <w:tcPr>
                  <w:tcW w:w="6304" w:type="dxa"/>
                  <w:tcBorders/>
                  <w:vAlign w:val="center"/>
                </w:tcPr>
                <w:p>
                  <w:pPr>
                    <w:pStyle w:val="Normal"/>
                    <w:ind w:start="360" w:end="-360"/>
                    <w:jc w:val="center"/>
                    <w:rPr>
                      <w:rFonts w:eastAsia="Arial Unicode MS"/>
                      <w:color w:val="000000"/>
                    </w:rPr>
                  </w:pPr>
                  <w:r>
                    <w:rPr>
                      <w:b/>
                      <w:bCs/>
                      <w:color w:val="FFFFFF"/>
                      <w:szCs w:val="20"/>
                    </w:rPr>
                    <w:t>Reason</w:t>
                  </w:r>
                </w:p>
              </w:tc>
              <w:tc>
                <w:tcPr>
                  <w:tcW w:w="3750" w:type="dxa"/>
                  <w:tcBorders/>
                  <w:vAlign w:val="center"/>
                </w:tcPr>
                <w:p>
                  <w:pPr>
                    <w:pStyle w:val="Normal"/>
                    <w:ind w:start="360" w:end="-360"/>
                    <w:rPr>
                      <w:b/>
                      <w:bCs/>
                      <w:color w:val="FFFFFF"/>
                      <w:szCs w:val="20"/>
                    </w:rPr>
                  </w:pPr>
                  <w:r>
                    <w:rPr>
                      <w:rFonts w:eastAsia="Tahoma"/>
                      <w:b/>
                      <w:bCs/>
                      <w:color w:val="FFFFFF"/>
                      <w:szCs w:val="20"/>
                    </w:rPr>
                    <w:t xml:space="preserve">   </w:t>
                  </w:r>
                  <w:r>
                    <w:rPr>
                      <w:b/>
                      <w:bCs/>
                      <w:color w:val="FFFFFF"/>
                      <w:szCs w:val="20"/>
                    </w:rPr>
                    <w:t>% Respondents Rated</w:t>
                  </w:r>
                </w:p>
                <w:p>
                  <w:pPr>
                    <w:pStyle w:val="Normal"/>
                    <w:ind w:start="360" w:end="-360"/>
                    <w:rPr>
                      <w:rFonts w:eastAsia="Arial Unicode MS"/>
                      <w:color w:val="000000"/>
                    </w:rPr>
                  </w:pPr>
                  <w:r>
                    <w:rPr>
                      <w:rFonts w:eastAsia="Tahoma"/>
                      <w:b/>
                      <w:bCs/>
                      <w:color w:val="FFFFFF"/>
                      <w:szCs w:val="20"/>
                    </w:rPr>
                    <w:t xml:space="preserve"> </w:t>
                  </w:r>
                  <w:r>
                    <w:rPr>
                      <w:b/>
                      <w:bCs/>
                      <w:color w:val="FFFFFF"/>
                      <w:szCs w:val="20"/>
                    </w:rPr>
                    <w:t>Moderately or Extensively</w:t>
                  </w:r>
                </w:p>
              </w:tc>
            </w:tr>
            <w:tr>
              <w:trPr>
                <w:trHeight w:val="228" w:hRule="atLeast"/>
              </w:trPr>
              <w:tc>
                <w:tcPr>
                  <w:tcW w:w="6304" w:type="dxa"/>
                  <w:tcBorders/>
                  <w:shd w:fill="FFFFFF" w:val="clear"/>
                  <w:vAlign w:val="center"/>
                </w:tcPr>
                <w:p>
                  <w:pPr>
                    <w:pStyle w:val="Normal"/>
                    <w:ind w:start="360" w:end="-360"/>
                    <w:rPr>
                      <w:rFonts w:eastAsia="Arial Unicode MS"/>
                      <w:color w:val="000000"/>
                      <w:sz w:val="18"/>
                    </w:rPr>
                  </w:pPr>
                  <w:r>
                    <w:rPr>
                      <w:sz w:val="18"/>
                      <w:szCs w:val="20"/>
                    </w:rPr>
                    <w:t>Offered promotion at other company</w:t>
                  </w:r>
                </w:p>
              </w:tc>
              <w:tc>
                <w:tcPr>
                  <w:tcW w:w="3750" w:type="dxa"/>
                  <w:tcBorders/>
                  <w:shd w:fill="FFFFFF" w:val="clear"/>
                  <w:vAlign w:val="center"/>
                </w:tcPr>
                <w:p>
                  <w:pPr>
                    <w:pStyle w:val="Normal"/>
                    <w:ind w:start="360" w:end="-360"/>
                    <w:jc w:val="center"/>
                    <w:rPr>
                      <w:rFonts w:eastAsia="Arial Unicode MS"/>
                      <w:color w:val="000000"/>
                      <w:sz w:val="18"/>
                    </w:rPr>
                  </w:pPr>
                  <w:r>
                    <w:rPr>
                      <w:sz w:val="18"/>
                      <w:szCs w:val="20"/>
                    </w:rPr>
                    <w:t>69.0%</w:t>
                  </w:r>
                </w:p>
              </w:tc>
            </w:tr>
            <w:tr>
              <w:trPr>
                <w:trHeight w:val="209" w:hRule="atLeast"/>
              </w:trPr>
              <w:tc>
                <w:tcPr>
                  <w:tcW w:w="6304" w:type="dxa"/>
                  <w:tcBorders/>
                  <w:shd w:fill="FFEAEA" w:val="clear"/>
                  <w:vAlign w:val="center"/>
                </w:tcPr>
                <w:p>
                  <w:pPr>
                    <w:pStyle w:val="Normal"/>
                    <w:ind w:start="360" w:end="-360"/>
                    <w:rPr>
                      <w:rFonts w:eastAsia="Arial Unicode MS"/>
                      <w:color w:val="000000"/>
                      <w:sz w:val="18"/>
                    </w:rPr>
                  </w:pPr>
                  <w:r>
                    <w:rPr>
                      <w:sz w:val="18"/>
                      <w:szCs w:val="20"/>
                    </w:rPr>
                    <w:t>Received significant increase in base salary</w:t>
                  </w:r>
                </w:p>
              </w:tc>
              <w:tc>
                <w:tcPr>
                  <w:tcW w:w="3750" w:type="dxa"/>
                  <w:tcBorders/>
                  <w:shd w:fill="FFEAEA" w:val="clear"/>
                  <w:vAlign w:val="center"/>
                </w:tcPr>
                <w:p>
                  <w:pPr>
                    <w:pStyle w:val="Normal"/>
                    <w:ind w:start="360" w:end="-360"/>
                    <w:jc w:val="center"/>
                    <w:rPr>
                      <w:rFonts w:eastAsia="Arial Unicode MS"/>
                      <w:color w:val="000000"/>
                      <w:sz w:val="18"/>
                    </w:rPr>
                  </w:pPr>
                  <w:r>
                    <w:rPr>
                      <w:sz w:val="18"/>
                      <w:szCs w:val="20"/>
                    </w:rPr>
                    <w:t>69.0%</w:t>
                  </w:r>
                </w:p>
              </w:tc>
            </w:tr>
            <w:tr>
              <w:trPr>
                <w:trHeight w:val="209" w:hRule="atLeast"/>
              </w:trPr>
              <w:tc>
                <w:tcPr>
                  <w:tcW w:w="6304" w:type="dxa"/>
                  <w:tcBorders/>
                  <w:shd w:fill="FFFFFF" w:val="clear"/>
                  <w:vAlign w:val="center"/>
                </w:tcPr>
                <w:p>
                  <w:pPr>
                    <w:pStyle w:val="Normal"/>
                    <w:ind w:start="360" w:end="-360"/>
                    <w:rPr>
                      <w:rFonts w:eastAsia="Arial Unicode MS"/>
                      <w:color w:val="000000"/>
                      <w:sz w:val="18"/>
                    </w:rPr>
                  </w:pPr>
                  <w:r>
                    <w:rPr>
                      <w:sz w:val="18"/>
                      <w:szCs w:val="20"/>
                    </w:rPr>
                    <w:t>Lack of career advancement/ development opportunities</w:t>
                  </w:r>
                </w:p>
              </w:tc>
              <w:tc>
                <w:tcPr>
                  <w:tcW w:w="3750" w:type="dxa"/>
                  <w:tcBorders/>
                  <w:shd w:fill="FFFFFF" w:val="clear"/>
                  <w:vAlign w:val="center"/>
                </w:tcPr>
                <w:p>
                  <w:pPr>
                    <w:pStyle w:val="Normal"/>
                    <w:ind w:start="360" w:end="-360"/>
                    <w:jc w:val="center"/>
                    <w:rPr>
                      <w:rFonts w:eastAsia="Arial Unicode MS"/>
                      <w:color w:val="000000"/>
                      <w:sz w:val="18"/>
                    </w:rPr>
                  </w:pPr>
                  <w:r>
                    <w:rPr>
                      <w:sz w:val="18"/>
                      <w:szCs w:val="20"/>
                    </w:rPr>
                    <w:t>62.6%</w:t>
                  </w:r>
                </w:p>
              </w:tc>
            </w:tr>
            <w:tr>
              <w:trPr>
                <w:trHeight w:val="228" w:hRule="atLeast"/>
              </w:trPr>
              <w:tc>
                <w:tcPr>
                  <w:tcW w:w="6304" w:type="dxa"/>
                  <w:tcBorders/>
                  <w:shd w:fill="FFEAEA" w:val="clear"/>
                  <w:vAlign w:val="center"/>
                </w:tcPr>
                <w:p>
                  <w:pPr>
                    <w:pStyle w:val="Normal"/>
                    <w:ind w:start="360" w:end="-360"/>
                    <w:rPr>
                      <w:rFonts w:eastAsia="Arial Unicode MS"/>
                      <w:color w:val="000000"/>
                      <w:sz w:val="18"/>
                    </w:rPr>
                  </w:pPr>
                  <w:r>
                    <w:rPr>
                      <w:sz w:val="18"/>
                      <w:szCs w:val="20"/>
                    </w:rPr>
                    <w:t>Inadequate compensation</w:t>
                  </w:r>
                </w:p>
              </w:tc>
              <w:tc>
                <w:tcPr>
                  <w:tcW w:w="3750" w:type="dxa"/>
                  <w:tcBorders/>
                  <w:shd w:fill="FFEAEA" w:val="clear"/>
                  <w:vAlign w:val="center"/>
                </w:tcPr>
                <w:p>
                  <w:pPr>
                    <w:pStyle w:val="Normal"/>
                    <w:ind w:start="360" w:end="-360"/>
                    <w:jc w:val="center"/>
                    <w:rPr>
                      <w:rFonts w:eastAsia="Arial Unicode MS"/>
                      <w:color w:val="000000"/>
                      <w:sz w:val="18"/>
                    </w:rPr>
                  </w:pPr>
                  <w:r>
                    <w:rPr>
                      <w:sz w:val="18"/>
                      <w:szCs w:val="20"/>
                    </w:rPr>
                    <w:t>61.9%</w:t>
                  </w:r>
                </w:p>
              </w:tc>
            </w:tr>
            <w:tr>
              <w:trPr>
                <w:trHeight w:val="209" w:hRule="atLeast"/>
              </w:trPr>
              <w:tc>
                <w:tcPr>
                  <w:tcW w:w="6304" w:type="dxa"/>
                  <w:tcBorders/>
                  <w:shd w:fill="FFFFFF" w:val="clear"/>
                  <w:vAlign w:val="center"/>
                </w:tcPr>
                <w:p>
                  <w:pPr>
                    <w:pStyle w:val="Normal"/>
                    <w:ind w:start="360" w:end="-360"/>
                    <w:rPr>
                      <w:rFonts w:eastAsia="Arial Unicode MS"/>
                      <w:color w:val="000000"/>
                      <w:sz w:val="18"/>
                    </w:rPr>
                  </w:pPr>
                  <w:r>
                    <w:rPr>
                      <w:sz w:val="18"/>
                      <w:szCs w:val="20"/>
                    </w:rPr>
                    <w:t>Received significant increase in TCC</w:t>
                  </w:r>
                </w:p>
              </w:tc>
              <w:tc>
                <w:tcPr>
                  <w:tcW w:w="3750" w:type="dxa"/>
                  <w:tcBorders/>
                  <w:shd w:fill="FFFFFF" w:val="clear"/>
                  <w:vAlign w:val="center"/>
                </w:tcPr>
                <w:p>
                  <w:pPr>
                    <w:pStyle w:val="Normal"/>
                    <w:ind w:start="360" w:end="-360"/>
                    <w:jc w:val="center"/>
                    <w:rPr>
                      <w:rFonts w:eastAsia="Arial Unicode MS"/>
                      <w:color w:val="000000"/>
                      <w:sz w:val="18"/>
                    </w:rPr>
                  </w:pPr>
                  <w:r>
                    <w:rPr>
                      <w:sz w:val="18"/>
                      <w:szCs w:val="20"/>
                    </w:rPr>
                    <w:t>58.1%</w:t>
                  </w:r>
                </w:p>
              </w:tc>
            </w:tr>
            <w:tr>
              <w:trPr>
                <w:trHeight w:val="228" w:hRule="atLeast"/>
              </w:trPr>
              <w:tc>
                <w:tcPr>
                  <w:tcW w:w="6304" w:type="dxa"/>
                  <w:tcBorders/>
                  <w:shd w:fill="FFEAEA" w:val="clear"/>
                  <w:vAlign w:val="center"/>
                </w:tcPr>
                <w:p>
                  <w:pPr>
                    <w:pStyle w:val="Normal"/>
                    <w:ind w:start="360" w:end="-360"/>
                    <w:rPr>
                      <w:rFonts w:eastAsia="Arial Unicode MS"/>
                      <w:color w:val="000000"/>
                      <w:sz w:val="18"/>
                    </w:rPr>
                  </w:pPr>
                  <w:r>
                    <w:rPr>
                      <w:sz w:val="18"/>
                      <w:szCs w:val="20"/>
                    </w:rPr>
                    <w:t>Failure to match competitive offer</w:t>
                  </w:r>
                </w:p>
              </w:tc>
              <w:tc>
                <w:tcPr>
                  <w:tcW w:w="3750" w:type="dxa"/>
                  <w:tcBorders/>
                  <w:shd w:fill="FFEAEA" w:val="clear"/>
                  <w:vAlign w:val="center"/>
                </w:tcPr>
                <w:p>
                  <w:pPr>
                    <w:pStyle w:val="Normal"/>
                    <w:ind w:start="360" w:end="-360"/>
                    <w:jc w:val="center"/>
                    <w:rPr>
                      <w:rFonts w:eastAsia="Arial Unicode MS"/>
                      <w:color w:val="000000"/>
                      <w:sz w:val="18"/>
                    </w:rPr>
                  </w:pPr>
                  <w:r>
                    <w:rPr>
                      <w:sz w:val="18"/>
                      <w:szCs w:val="20"/>
                    </w:rPr>
                    <w:t>54.2%</w:t>
                  </w:r>
                </w:p>
              </w:tc>
            </w:tr>
            <w:tr>
              <w:trPr>
                <w:trHeight w:val="209" w:hRule="atLeast"/>
              </w:trPr>
              <w:tc>
                <w:tcPr>
                  <w:tcW w:w="6304" w:type="dxa"/>
                  <w:tcBorders/>
                  <w:shd w:fill="FFFFFF" w:val="clear"/>
                  <w:vAlign w:val="center"/>
                </w:tcPr>
                <w:p>
                  <w:pPr>
                    <w:pStyle w:val="Normal"/>
                    <w:ind w:start="360" w:end="-360"/>
                    <w:rPr>
                      <w:rFonts w:eastAsia="Arial Unicode MS"/>
                      <w:color w:val="000000"/>
                      <w:sz w:val="18"/>
                    </w:rPr>
                  </w:pPr>
                  <w:r>
                    <w:rPr>
                      <w:sz w:val="18"/>
                      <w:szCs w:val="20"/>
                    </w:rPr>
                    <w:t>Opportunity to work on new and/or more challenging technology</w:t>
                  </w:r>
                </w:p>
              </w:tc>
              <w:tc>
                <w:tcPr>
                  <w:tcW w:w="3750" w:type="dxa"/>
                  <w:tcBorders/>
                  <w:shd w:fill="FFFFFF" w:val="clear"/>
                  <w:vAlign w:val="center"/>
                </w:tcPr>
                <w:p>
                  <w:pPr>
                    <w:pStyle w:val="Normal"/>
                    <w:ind w:start="360" w:end="-360"/>
                    <w:jc w:val="center"/>
                    <w:rPr>
                      <w:rFonts w:eastAsia="Arial Unicode MS"/>
                      <w:color w:val="000000"/>
                      <w:sz w:val="18"/>
                    </w:rPr>
                  </w:pPr>
                  <w:r>
                    <w:rPr>
                      <w:sz w:val="18"/>
                      <w:szCs w:val="20"/>
                    </w:rPr>
                    <w:t>53.5%</w:t>
                  </w:r>
                </w:p>
              </w:tc>
            </w:tr>
            <w:tr>
              <w:trPr>
                <w:trHeight w:val="209" w:hRule="atLeast"/>
              </w:trPr>
              <w:tc>
                <w:tcPr>
                  <w:tcW w:w="6304" w:type="dxa"/>
                  <w:tcBorders/>
                  <w:shd w:fill="FFEAEA" w:val="clear"/>
                  <w:vAlign w:val="center"/>
                </w:tcPr>
                <w:p>
                  <w:pPr>
                    <w:pStyle w:val="Normal"/>
                    <w:ind w:start="360" w:end="-360"/>
                    <w:rPr>
                      <w:rFonts w:eastAsia="Arial Unicode MS"/>
                      <w:color w:val="000000"/>
                      <w:sz w:val="18"/>
                    </w:rPr>
                  </w:pPr>
                  <w:r>
                    <w:rPr>
                      <w:sz w:val="18"/>
                      <w:szCs w:val="20"/>
                    </w:rPr>
                    <w:t>Dissatisfaction with supervisor</w:t>
                  </w:r>
                </w:p>
              </w:tc>
              <w:tc>
                <w:tcPr>
                  <w:tcW w:w="3750" w:type="dxa"/>
                  <w:tcBorders/>
                  <w:shd w:fill="FFEAEA" w:val="clear"/>
                  <w:vAlign w:val="center"/>
                </w:tcPr>
                <w:p>
                  <w:pPr>
                    <w:pStyle w:val="Normal"/>
                    <w:ind w:start="360" w:end="-360"/>
                    <w:jc w:val="center"/>
                    <w:rPr>
                      <w:rFonts w:eastAsia="Arial Unicode MS"/>
                      <w:color w:val="000000"/>
                      <w:sz w:val="18"/>
                    </w:rPr>
                  </w:pPr>
                  <w:r>
                    <w:rPr>
                      <w:sz w:val="18"/>
                      <w:szCs w:val="20"/>
                    </w:rPr>
                    <w:t>48.4%</w:t>
                  </w:r>
                </w:p>
              </w:tc>
            </w:tr>
            <w:tr>
              <w:trPr>
                <w:trHeight w:val="228" w:hRule="atLeast"/>
              </w:trPr>
              <w:tc>
                <w:tcPr>
                  <w:tcW w:w="6304" w:type="dxa"/>
                  <w:tcBorders/>
                  <w:shd w:fill="FFFFFF" w:val="clear"/>
                  <w:vAlign w:val="center"/>
                </w:tcPr>
                <w:p>
                  <w:pPr>
                    <w:pStyle w:val="Normal"/>
                    <w:ind w:start="360" w:end="-360"/>
                    <w:rPr>
                      <w:rFonts w:eastAsia="Arial Unicode MS"/>
                      <w:color w:val="000000"/>
                      <w:sz w:val="18"/>
                    </w:rPr>
                  </w:pPr>
                  <w:r>
                    <w:rPr>
                      <w:sz w:val="18"/>
                      <w:szCs w:val="20"/>
                    </w:rPr>
                    <w:t>Opportunity to work for start-up</w:t>
                  </w:r>
                </w:p>
              </w:tc>
              <w:tc>
                <w:tcPr>
                  <w:tcW w:w="3750" w:type="dxa"/>
                  <w:tcBorders/>
                  <w:shd w:fill="FFFFFF" w:val="clear"/>
                  <w:vAlign w:val="center"/>
                </w:tcPr>
                <w:p>
                  <w:pPr>
                    <w:pStyle w:val="Normal"/>
                    <w:ind w:start="360" w:end="-360"/>
                    <w:jc w:val="center"/>
                    <w:rPr>
                      <w:rFonts w:eastAsia="Arial Unicode MS"/>
                      <w:color w:val="000000"/>
                      <w:sz w:val="18"/>
                    </w:rPr>
                  </w:pPr>
                  <w:r>
                    <w:rPr>
                      <w:sz w:val="18"/>
                      <w:szCs w:val="20"/>
                    </w:rPr>
                    <w:t>41.3%</w:t>
                  </w:r>
                </w:p>
              </w:tc>
            </w:tr>
            <w:tr>
              <w:trPr>
                <w:trHeight w:val="209" w:hRule="atLeast"/>
              </w:trPr>
              <w:tc>
                <w:tcPr>
                  <w:tcW w:w="6304" w:type="dxa"/>
                  <w:tcBorders/>
                  <w:shd w:fill="FFEAEA" w:val="clear"/>
                  <w:vAlign w:val="center"/>
                </w:tcPr>
                <w:p>
                  <w:pPr>
                    <w:pStyle w:val="Normal"/>
                    <w:ind w:start="360" w:end="-360"/>
                    <w:rPr>
                      <w:rFonts w:eastAsia="Arial Unicode MS"/>
                      <w:color w:val="000000"/>
                      <w:sz w:val="18"/>
                    </w:rPr>
                  </w:pPr>
                  <w:r>
                    <w:rPr>
                      <w:sz w:val="18"/>
                      <w:szCs w:val="20"/>
                    </w:rPr>
                    <w:t>Lack of senior management leadership/vision</w:t>
                  </w:r>
                </w:p>
              </w:tc>
              <w:tc>
                <w:tcPr>
                  <w:tcW w:w="3750" w:type="dxa"/>
                  <w:tcBorders/>
                  <w:shd w:fill="FFEAEA" w:val="clear"/>
                  <w:vAlign w:val="center"/>
                </w:tcPr>
                <w:p>
                  <w:pPr>
                    <w:pStyle w:val="Normal"/>
                    <w:ind w:start="360" w:end="-360"/>
                    <w:jc w:val="center"/>
                    <w:rPr>
                      <w:rFonts w:eastAsia="Arial Unicode MS"/>
                      <w:color w:val="000000"/>
                      <w:sz w:val="18"/>
                    </w:rPr>
                  </w:pPr>
                  <w:r>
                    <w:rPr>
                      <w:sz w:val="18"/>
                      <w:szCs w:val="20"/>
                    </w:rPr>
                    <w:t>33.5%</w:t>
                  </w:r>
                </w:p>
              </w:tc>
            </w:tr>
            <w:tr>
              <w:trPr>
                <w:trHeight w:val="209" w:hRule="atLeast"/>
              </w:trPr>
              <w:tc>
                <w:tcPr>
                  <w:tcW w:w="6304" w:type="dxa"/>
                  <w:tcBorders/>
                  <w:shd w:fill="FFFFFF" w:val="clear"/>
                  <w:vAlign w:val="center"/>
                </w:tcPr>
                <w:p>
                  <w:pPr>
                    <w:pStyle w:val="Normal"/>
                    <w:ind w:start="360" w:end="-360"/>
                    <w:rPr>
                      <w:rFonts w:eastAsia="Arial Unicode MS"/>
                      <w:color w:val="000000"/>
                      <w:sz w:val="18"/>
                    </w:rPr>
                  </w:pPr>
                  <w:r>
                    <w:rPr>
                      <w:sz w:val="18"/>
                      <w:szCs w:val="20"/>
                    </w:rPr>
                    <w:t>Lack of training opportunities</w:t>
                  </w:r>
                </w:p>
              </w:tc>
              <w:tc>
                <w:tcPr>
                  <w:tcW w:w="3750" w:type="dxa"/>
                  <w:tcBorders/>
                  <w:shd w:fill="FFFFFF" w:val="clear"/>
                  <w:vAlign w:val="center"/>
                </w:tcPr>
                <w:p>
                  <w:pPr>
                    <w:pStyle w:val="Normal"/>
                    <w:ind w:start="360" w:end="-360"/>
                    <w:jc w:val="center"/>
                    <w:rPr>
                      <w:rFonts w:eastAsia="Arial Unicode MS"/>
                      <w:color w:val="000000"/>
                      <w:sz w:val="18"/>
                    </w:rPr>
                  </w:pPr>
                  <w:r>
                    <w:rPr>
                      <w:sz w:val="18"/>
                      <w:szCs w:val="20"/>
                    </w:rPr>
                    <w:t>27.7%</w:t>
                  </w:r>
                </w:p>
              </w:tc>
            </w:tr>
            <w:tr>
              <w:trPr>
                <w:trHeight w:val="228" w:hRule="atLeast"/>
              </w:trPr>
              <w:tc>
                <w:tcPr>
                  <w:tcW w:w="6304" w:type="dxa"/>
                  <w:tcBorders/>
                  <w:shd w:fill="FFEAEA" w:val="clear"/>
                  <w:vAlign w:val="center"/>
                </w:tcPr>
                <w:p>
                  <w:pPr>
                    <w:pStyle w:val="Normal"/>
                    <w:ind w:start="360" w:end="-360"/>
                    <w:rPr>
                      <w:rFonts w:eastAsia="Arial Unicode MS"/>
                      <w:color w:val="000000"/>
                      <w:sz w:val="18"/>
                    </w:rPr>
                  </w:pPr>
                  <w:r>
                    <w:rPr>
                      <w:sz w:val="18"/>
                      <w:szCs w:val="20"/>
                    </w:rPr>
                    <w:t>Need for better work-life balance</w:t>
                  </w:r>
                </w:p>
              </w:tc>
              <w:tc>
                <w:tcPr>
                  <w:tcW w:w="3750" w:type="dxa"/>
                  <w:tcBorders/>
                  <w:shd w:fill="FFEAEA" w:val="clear"/>
                  <w:vAlign w:val="center"/>
                </w:tcPr>
                <w:p>
                  <w:pPr>
                    <w:pStyle w:val="Normal"/>
                    <w:ind w:start="360" w:end="-360"/>
                    <w:jc w:val="center"/>
                    <w:rPr>
                      <w:rFonts w:eastAsia="Arial Unicode MS"/>
                      <w:color w:val="000000"/>
                      <w:sz w:val="18"/>
                    </w:rPr>
                  </w:pPr>
                  <w:r>
                    <w:rPr>
                      <w:sz w:val="18"/>
                      <w:szCs w:val="20"/>
                    </w:rPr>
                    <w:t>24.5%</w:t>
                  </w:r>
                </w:p>
              </w:tc>
            </w:tr>
            <w:tr>
              <w:trPr>
                <w:trHeight w:val="209" w:hRule="atLeast"/>
              </w:trPr>
              <w:tc>
                <w:tcPr>
                  <w:tcW w:w="6304" w:type="dxa"/>
                  <w:tcBorders/>
                  <w:shd w:fill="FFFFFF" w:val="clear"/>
                  <w:vAlign w:val="center"/>
                </w:tcPr>
                <w:p>
                  <w:pPr>
                    <w:pStyle w:val="Normal"/>
                    <w:ind w:start="360" w:end="-360"/>
                    <w:rPr>
                      <w:rFonts w:eastAsia="Arial Unicode MS"/>
                      <w:color w:val="000000"/>
                      <w:sz w:val="18"/>
                    </w:rPr>
                  </w:pPr>
                  <w:r>
                    <w:rPr>
                      <w:sz w:val="18"/>
                      <w:szCs w:val="20"/>
                    </w:rPr>
                    <w:t>Desire for alternative work arrangements</w:t>
                  </w:r>
                </w:p>
              </w:tc>
              <w:tc>
                <w:tcPr>
                  <w:tcW w:w="3750" w:type="dxa"/>
                  <w:tcBorders/>
                  <w:shd w:fill="FFFFFF" w:val="clear"/>
                  <w:vAlign w:val="center"/>
                </w:tcPr>
                <w:p>
                  <w:pPr>
                    <w:pStyle w:val="Normal"/>
                    <w:ind w:start="360" w:end="-360"/>
                    <w:jc w:val="center"/>
                    <w:rPr>
                      <w:rFonts w:eastAsia="Arial Unicode MS"/>
                      <w:color w:val="000000"/>
                      <w:sz w:val="18"/>
                    </w:rPr>
                  </w:pPr>
                  <w:r>
                    <w:rPr>
                      <w:sz w:val="18"/>
                      <w:szCs w:val="20"/>
                    </w:rPr>
                    <w:t>23.9%</w:t>
                  </w:r>
                </w:p>
              </w:tc>
            </w:tr>
            <w:tr>
              <w:trPr>
                <w:trHeight w:val="209" w:hRule="atLeast"/>
              </w:trPr>
              <w:tc>
                <w:tcPr>
                  <w:tcW w:w="6304" w:type="dxa"/>
                  <w:tcBorders/>
                  <w:shd w:fill="FFEAEA" w:val="clear"/>
                  <w:vAlign w:val="center"/>
                </w:tcPr>
                <w:p>
                  <w:pPr>
                    <w:pStyle w:val="Normal"/>
                    <w:ind w:start="360" w:end="-360"/>
                    <w:rPr>
                      <w:rFonts w:eastAsia="Arial Unicode MS"/>
                      <w:color w:val="000000"/>
                      <w:sz w:val="18"/>
                    </w:rPr>
                  </w:pPr>
                  <w:r>
                    <w:rPr>
                      <w:sz w:val="18"/>
                      <w:szCs w:val="20"/>
                    </w:rPr>
                    <w:t>Lack of recognition programs</w:t>
                  </w:r>
                </w:p>
              </w:tc>
              <w:tc>
                <w:tcPr>
                  <w:tcW w:w="3750" w:type="dxa"/>
                  <w:tcBorders/>
                  <w:shd w:fill="FFEAEA" w:val="clear"/>
                  <w:vAlign w:val="center"/>
                </w:tcPr>
                <w:p>
                  <w:pPr>
                    <w:pStyle w:val="Normal"/>
                    <w:ind w:start="360" w:end="-360"/>
                    <w:jc w:val="center"/>
                    <w:rPr>
                      <w:rFonts w:eastAsia="Arial Unicode MS"/>
                      <w:color w:val="000000"/>
                      <w:sz w:val="18"/>
                    </w:rPr>
                  </w:pPr>
                  <w:r>
                    <w:rPr>
                      <w:sz w:val="18"/>
                      <w:szCs w:val="20"/>
                    </w:rPr>
                    <w:t>23.9%</w:t>
                  </w:r>
                </w:p>
              </w:tc>
            </w:tr>
            <w:tr>
              <w:trPr>
                <w:trHeight w:val="228" w:hRule="atLeast"/>
              </w:trPr>
              <w:tc>
                <w:tcPr>
                  <w:tcW w:w="6304" w:type="dxa"/>
                  <w:tcBorders/>
                  <w:shd w:fill="FFFFFF" w:val="clear"/>
                  <w:vAlign w:val="center"/>
                </w:tcPr>
                <w:p>
                  <w:pPr>
                    <w:pStyle w:val="Normal"/>
                    <w:ind w:start="360" w:end="-360"/>
                    <w:rPr>
                      <w:rFonts w:eastAsia="Arial Unicode MS"/>
                      <w:color w:val="000000"/>
                      <w:sz w:val="18"/>
                    </w:rPr>
                  </w:pPr>
                  <w:r>
                    <w:rPr>
                      <w:sz w:val="18"/>
                      <w:szCs w:val="20"/>
                    </w:rPr>
                    <w:t>Poor fit with job</w:t>
                  </w:r>
                </w:p>
              </w:tc>
              <w:tc>
                <w:tcPr>
                  <w:tcW w:w="3750" w:type="dxa"/>
                  <w:tcBorders/>
                  <w:shd w:fill="FFFFFF" w:val="clear"/>
                  <w:vAlign w:val="center"/>
                </w:tcPr>
                <w:p>
                  <w:pPr>
                    <w:pStyle w:val="Normal"/>
                    <w:ind w:start="360" w:end="-360"/>
                    <w:jc w:val="center"/>
                    <w:rPr>
                      <w:rFonts w:eastAsia="Arial Unicode MS"/>
                      <w:color w:val="000000"/>
                      <w:sz w:val="18"/>
                    </w:rPr>
                  </w:pPr>
                  <w:r>
                    <w:rPr>
                      <w:sz w:val="18"/>
                      <w:szCs w:val="20"/>
                    </w:rPr>
                    <w:t>20.6%</w:t>
                  </w:r>
                </w:p>
              </w:tc>
            </w:tr>
            <w:tr>
              <w:trPr>
                <w:trHeight w:val="209" w:hRule="atLeast"/>
              </w:trPr>
              <w:tc>
                <w:tcPr>
                  <w:tcW w:w="6304" w:type="dxa"/>
                  <w:tcBorders/>
                  <w:shd w:fill="FFEAEA" w:val="clear"/>
                  <w:vAlign w:val="center"/>
                </w:tcPr>
                <w:p>
                  <w:pPr>
                    <w:pStyle w:val="Normal"/>
                    <w:ind w:start="360" w:end="-360"/>
                    <w:rPr>
                      <w:rFonts w:eastAsia="Arial Unicode MS"/>
                      <w:color w:val="000000"/>
                      <w:sz w:val="18"/>
                    </w:rPr>
                  </w:pPr>
                  <w:r>
                    <w:rPr>
                      <w:sz w:val="18"/>
                      <w:szCs w:val="20"/>
                    </w:rPr>
                    <w:t>Uncertainty about company's future</w:t>
                  </w:r>
                </w:p>
              </w:tc>
              <w:tc>
                <w:tcPr>
                  <w:tcW w:w="3750" w:type="dxa"/>
                  <w:tcBorders/>
                  <w:shd w:fill="FFEAEA" w:val="clear"/>
                  <w:vAlign w:val="center"/>
                </w:tcPr>
                <w:p>
                  <w:pPr>
                    <w:pStyle w:val="Normal"/>
                    <w:ind w:start="360" w:end="-360"/>
                    <w:jc w:val="center"/>
                    <w:rPr>
                      <w:rFonts w:eastAsia="Arial Unicode MS"/>
                      <w:color w:val="000000"/>
                      <w:sz w:val="18"/>
                    </w:rPr>
                  </w:pPr>
                  <w:r>
                    <w:rPr>
                      <w:sz w:val="18"/>
                      <w:szCs w:val="20"/>
                    </w:rPr>
                    <w:t>17.4%</w:t>
                  </w:r>
                </w:p>
              </w:tc>
            </w:tr>
            <w:tr>
              <w:trPr>
                <w:trHeight w:val="228" w:hRule="atLeast"/>
              </w:trPr>
              <w:tc>
                <w:tcPr>
                  <w:tcW w:w="6304" w:type="dxa"/>
                  <w:tcBorders/>
                  <w:shd w:fill="FFFFFF" w:val="clear"/>
                  <w:vAlign w:val="center"/>
                </w:tcPr>
                <w:p>
                  <w:pPr>
                    <w:pStyle w:val="Normal"/>
                    <w:ind w:start="360" w:end="-360"/>
                    <w:rPr>
                      <w:rFonts w:eastAsia="Arial Unicode MS"/>
                      <w:color w:val="000000"/>
                      <w:sz w:val="18"/>
                    </w:rPr>
                  </w:pPr>
                  <w:r>
                    <w:rPr>
                      <w:sz w:val="18"/>
                      <w:szCs w:val="20"/>
                    </w:rPr>
                    <w:t>Benefits</w:t>
                  </w:r>
                </w:p>
              </w:tc>
              <w:tc>
                <w:tcPr>
                  <w:tcW w:w="3750" w:type="dxa"/>
                  <w:tcBorders/>
                  <w:shd w:fill="FFFFFF" w:val="clear"/>
                  <w:vAlign w:val="center"/>
                </w:tcPr>
                <w:p>
                  <w:pPr>
                    <w:pStyle w:val="Normal"/>
                    <w:ind w:start="360" w:end="-360"/>
                    <w:jc w:val="center"/>
                    <w:rPr>
                      <w:rFonts w:eastAsia="Arial Unicode MS"/>
                      <w:color w:val="000000"/>
                      <w:sz w:val="18"/>
                    </w:rPr>
                  </w:pPr>
                  <w:r>
                    <w:rPr>
                      <w:sz w:val="18"/>
                      <w:szCs w:val="20"/>
                    </w:rPr>
                    <w:t>16.8%</w:t>
                  </w:r>
                </w:p>
              </w:tc>
            </w:tr>
          </w:tbl>
          <w:p>
            <w:pPr>
              <w:pStyle w:val="Normal"/>
              <w:ind w:start="360" w:end="-360"/>
              <w:jc w:val="center"/>
              <w:rPr>
                <w:rFonts w:eastAsia="Arial Unicode MS"/>
                <w:color w:val="000000"/>
              </w:rPr>
            </w:pPr>
            <w:r>
              <w:rPr>
                <w:rFonts w:eastAsia="Arial Unicode MS"/>
                <w:color w:val="000000"/>
              </w:rPr>
            </w:r>
          </w:p>
        </w:tc>
      </w:tr>
    </w:tbl>
    <w:p>
      <w:pPr>
        <w:pStyle w:val="Normal"/>
        <w:ind w:start="360" w:end="-360"/>
        <w:rPr>
          <w:vanish/>
          <w:sz w:val="8"/>
        </w:rPr>
      </w:pPr>
      <w:r>
        <w:rPr>
          <w:vanish/>
          <w:sz w:val="8"/>
        </w:rPr>
      </w:r>
    </w:p>
    <w:p>
      <w:pPr>
        <w:pStyle w:val="Header"/>
        <w:ind w:start="360" w:end="-360"/>
        <w:jc w:val="both"/>
        <w:rPr>
          <w:b/>
          <w:bCs/>
          <w:vanish/>
          <w:sz w:val="8"/>
          <w:u w:val="single"/>
        </w:rPr>
      </w:pPr>
      <w:r>
        <w:rPr>
          <w:b/>
          <w:bCs/>
          <w:vanish/>
          <w:sz w:val="8"/>
          <w:u w:val="single"/>
        </w:rPr>
      </w:r>
    </w:p>
    <w:p>
      <w:pPr>
        <w:pStyle w:val="Normal"/>
        <w:ind w:hanging="360" w:start="360" w:end="-720"/>
        <w:rPr>
          <w:i/>
          <w:i/>
          <w:iCs/>
        </w:rPr>
      </w:pPr>
      <w:r>
        <w:rPr>
          <w:i/>
          <w:iCs/>
        </w:rPr>
        <w:t xml:space="preserve">Source:  2001 IT Market Compensation Study of 198 organizations (approx. 35,000 employees), people³, Inc. </w:t>
      </w:r>
    </w:p>
    <w:p>
      <w:pPr>
        <w:pStyle w:val="Normal"/>
        <w:ind w:start="360" w:end="-360"/>
        <w:jc w:val="both"/>
        <w:rPr>
          <w:b/>
          <w:bCs/>
          <w:i/>
          <w:i/>
          <w:iCs/>
          <w:u w:val="single"/>
        </w:rPr>
      </w:pPr>
      <w:r>
        <w:rPr>
          <w:b/>
          <w:bCs/>
          <w:i/>
          <w:iCs/>
          <w:u w:val="single"/>
        </w:rPr>
      </w:r>
    </w:p>
    <w:p>
      <w:pPr>
        <w:pStyle w:val="Normal"/>
        <w:ind w:start="360" w:end="-360"/>
        <w:jc w:val="center"/>
        <w:rPr>
          <w:b/>
          <w:bCs/>
          <w:sz w:val="18"/>
          <w:u w:val="single"/>
        </w:rPr>
      </w:pPr>
      <w:r>
        <w:rPr>
          <w:b/>
          <w:bCs/>
          <w:sz w:val="18"/>
          <w:u w:val="single"/>
        </w:rPr>
      </w:r>
    </w:p>
    <w:p>
      <w:pPr>
        <w:pStyle w:val="Normal"/>
        <w:ind w:start="360" w:end="-360"/>
        <w:jc w:val="center"/>
        <w:rPr>
          <w:b/>
          <w:bCs/>
          <w:sz w:val="22"/>
          <w:u w:val="single"/>
        </w:rPr>
      </w:pPr>
      <w:r>
        <w:rPr>
          <w:b/>
          <w:bCs/>
          <w:sz w:val="22"/>
          <w:u w:val="single"/>
        </w:rPr>
        <w:t>Workplace Trends</w:t>
      </w:r>
    </w:p>
    <w:p>
      <w:pPr>
        <w:pStyle w:val="Normal"/>
        <w:ind w:start="360" w:end="-360"/>
        <w:jc w:val="both"/>
        <w:rPr>
          <w:b/>
          <w:bCs/>
          <w:sz w:val="18"/>
          <w:u w:val="single"/>
        </w:rPr>
      </w:pPr>
      <w:r>
        <w:rPr>
          <w:b/>
          <w:bCs/>
          <w:sz w:val="18"/>
          <w:u w:val="single"/>
        </w:rPr>
      </w:r>
    </w:p>
    <w:p>
      <w:pPr>
        <w:pStyle w:val="Normal"/>
        <w:ind w:start="360" w:end="-360"/>
        <w:jc w:val="both"/>
        <w:rPr>
          <w:b/>
          <w:bCs/>
          <w:u w:val="single"/>
        </w:rPr>
      </w:pPr>
      <w:r>
        <w:rPr>
          <w:b/>
          <w:bCs/>
          <w:u w:val="single"/>
        </w:rPr>
        <w:t>Employee self-service soars…</w:t>
      </w:r>
    </w:p>
    <w:p>
      <w:pPr>
        <w:pStyle w:val="Normal"/>
        <w:ind w:start="360" w:end="-360"/>
        <w:jc w:val="both"/>
        <w:rPr/>
      </w:pPr>
      <w:r>
        <w:rPr/>
        <w:t xml:space="preserve">Approaching another open enrollment season, the number of companies giving employees access to self-service HR transactions on the Web has more than doubled since last year.  </w:t>
      </w:r>
    </w:p>
    <w:p>
      <w:pPr>
        <w:pStyle w:val="Normal"/>
        <w:ind w:start="360" w:end="-360"/>
        <w:jc w:val="both"/>
        <w:rPr>
          <w:sz w:val="8"/>
        </w:rPr>
      </w:pPr>
      <w:r>
        <w:rPr>
          <w:sz w:val="8"/>
        </w:rPr>
      </w:r>
    </w:p>
    <w:p>
      <w:pPr>
        <w:pStyle w:val="Normal"/>
        <w:ind w:start="360" w:end="-360"/>
        <w:jc w:val="both"/>
        <w:rPr/>
      </w:pPr>
      <w:r>
        <w:rPr/>
        <w:t xml:space="preserve">According to an annual survey of Fortune 500 companies by Towers Perrin, 60% of 100 responding companies will allow employees to complete their benefit enrollment online this fall - more than double the number reported in 2000.  Significant increases were also reported for personal HR data changes (43% in 2001, up from 21%), and 401(k) allocation changes (80% in 2001, up from 58%). </w:t>
      </w:r>
    </w:p>
    <w:p>
      <w:pPr>
        <w:pStyle w:val="Normal"/>
        <w:ind w:start="360" w:end="-360"/>
        <w:jc w:val="both"/>
        <w:rPr>
          <w:sz w:val="8"/>
        </w:rPr>
      </w:pPr>
      <w:r>
        <w:rPr>
          <w:sz w:val="8"/>
        </w:rPr>
      </w:r>
    </w:p>
    <w:p>
      <w:pPr>
        <w:pStyle w:val="Normal"/>
        <w:ind w:start="360" w:end="-360"/>
        <w:jc w:val="both"/>
        <w:rPr/>
      </w:pPr>
      <w:r>
        <w:rPr/>
        <w:t>Many converging forces are driving the trend, including increased employee access to the Web. Home access to HR intranets jumped from 31% in 2000 to 49% this year - and would be higher except for security concerns.</w:t>
      </w:r>
    </w:p>
    <w:p>
      <w:pPr>
        <w:pStyle w:val="Normal"/>
        <w:ind w:start="360" w:end="-360"/>
        <w:jc w:val="both"/>
        <w:rPr>
          <w:sz w:val="8"/>
        </w:rPr>
      </w:pPr>
      <w:r>
        <w:rPr>
          <w:sz w:val="8"/>
        </w:rPr>
      </w:r>
    </w:p>
    <w:p>
      <w:pPr>
        <w:pStyle w:val="Normal"/>
        <w:ind w:start="360" w:end="-360"/>
        <w:jc w:val="both"/>
        <w:rPr/>
      </w:pPr>
      <w:r>
        <w:rPr/>
        <w:t xml:space="preserve">Survey respondents cite three top reasons for implementing employee self-service: to reduce HR costs (40%), to increase service levels (33%), and to transform the HR role (27%).  Information most often offered on respondents' HR intranets: benefit plans and HR policies (97%), job postings (96%), health and wellness (88%), 401(k) balances (81%), and training course listings (57%). </w:t>
      </w:r>
    </w:p>
    <w:p>
      <w:pPr>
        <w:pStyle w:val="Normal"/>
        <w:ind w:start="360" w:end="-360"/>
        <w:jc w:val="both"/>
        <w:rPr>
          <w:sz w:val="8"/>
        </w:rPr>
      </w:pPr>
      <w:r>
        <w:rPr>
          <w:sz w:val="8"/>
        </w:rPr>
      </w:r>
    </w:p>
    <w:p>
      <w:pPr>
        <w:pStyle w:val="Normal"/>
        <w:ind w:start="360" w:end="-360"/>
        <w:jc w:val="both"/>
        <w:rPr>
          <w:b/>
          <w:bCs/>
          <w:u w:val="single"/>
        </w:rPr>
      </w:pPr>
      <w:r>
        <w:rPr>
          <w:b/>
          <w:bCs/>
          <w:u w:val="single"/>
        </w:rPr>
        <w:t>…</w:t>
      </w:r>
      <w:r>
        <w:rPr>
          <w:b/>
          <w:bCs/>
          <w:u w:val="single"/>
        </w:rPr>
        <w:t>but ROI lags</w:t>
      </w:r>
    </w:p>
    <w:p>
      <w:pPr>
        <w:pStyle w:val="Normal"/>
        <w:ind w:start="360" w:end="-360"/>
        <w:jc w:val="both"/>
        <w:rPr/>
      </w:pPr>
      <w:r>
        <w:rPr/>
        <w:t>Despite the sweep of these trends, it appears the return on investment (ROI) in technology might not be as immediate or dramatic as some analysts have predicted.  Anticipated cost savings from employee self-service have not materialized in many cases, observers say, in part because of the continued need for live support:</w:t>
      </w:r>
    </w:p>
    <w:p>
      <w:pPr>
        <w:pStyle w:val="Normal"/>
        <w:ind w:start="360" w:end="-360"/>
        <w:jc w:val="both"/>
        <w:rPr>
          <w:sz w:val="8"/>
        </w:rPr>
      </w:pPr>
      <w:r>
        <w:rPr>
          <w:sz w:val="8"/>
        </w:rPr>
      </w:r>
    </w:p>
    <w:p>
      <w:pPr>
        <w:pStyle w:val="Normal"/>
        <w:ind w:start="360" w:end="-360"/>
        <w:jc w:val="both"/>
        <w:rPr/>
      </w:pPr>
      <w:r>
        <w:rPr/>
        <w:t xml:space="preserve">Sixty percent of respondents say that no more than 10% of employee inquiries are handled on the HR intranet. As a result, there's been no decrease in the volume of calls flowing into HR call centers.  Customer service reps are answering increasingly sophisticated questions from employees, however, which may indicate that HR's push to educate employees is paying off.  Survey authors stress that despite the mass move to employee self-service, "service centers remain a viable element in the HR delivery mix - even in a Web-based world." </w:t>
      </w:r>
    </w:p>
    <w:p>
      <w:pPr>
        <w:pStyle w:val="Normal"/>
        <w:ind w:start="360" w:end="-360"/>
        <w:jc w:val="both"/>
        <w:rPr>
          <w:sz w:val="8"/>
        </w:rPr>
      </w:pPr>
      <w:r>
        <w:rPr>
          <w:sz w:val="8"/>
        </w:rPr>
      </w:r>
    </w:p>
    <w:p>
      <w:pPr>
        <w:pStyle w:val="Normal"/>
        <w:ind w:start="360" w:end="-360"/>
        <w:jc w:val="both"/>
        <w:rPr/>
      </w:pPr>
      <w:r>
        <w:rPr/>
        <w:t xml:space="preserve">According to Towers Perrin, the real payback will come from the manager transactions.  But manager self-service applications are being held back by a current lack of functionality through core HRMS systems.  From a change management perspective, moreover, manager self-service is much more difficult to implement.  But TP says case studies with early adopters of robust manager self-service show that when appropriate change management practices are in place, manager self-service saves companies substantially more time and money than does employee self-service alone. </w:t>
      </w:r>
    </w:p>
    <w:p>
      <w:pPr>
        <w:pStyle w:val="Normal"/>
        <w:ind w:start="360" w:end="-360"/>
        <w:jc w:val="both"/>
        <w:rPr>
          <w:sz w:val="8"/>
        </w:rPr>
      </w:pPr>
      <w:r>
        <w:rPr>
          <w:sz w:val="8"/>
        </w:rPr>
      </w:r>
    </w:p>
    <w:p>
      <w:pPr>
        <w:pStyle w:val="Normal"/>
        <w:ind w:start="360" w:end="-360"/>
        <w:jc w:val="both"/>
        <w:rPr/>
      </w:pPr>
      <w:r>
        <w:rPr/>
        <w:t xml:space="preserve">Hackett Benchmarking &amp; Research’s analysis of more than 1,600 global clients - including AT&amp;T, Citigroup, Dell, ExxonMobil, and General Electric - revealed that, despite a 40% increase in technology spending since 1998 and a 33% rise in employee self-service, HR administrative costs have grown by 16%: </w:t>
      </w:r>
    </w:p>
    <w:p>
      <w:pPr>
        <w:pStyle w:val="Normal"/>
        <w:ind w:start="360" w:end="-360"/>
        <w:jc w:val="both"/>
        <w:rPr>
          <w:sz w:val="8"/>
        </w:rPr>
      </w:pPr>
      <w:r>
        <w:rPr>
          <w:sz w:val="8"/>
        </w:rPr>
      </w:r>
    </w:p>
    <w:p>
      <w:pPr>
        <w:pStyle w:val="Normal"/>
        <w:ind w:start="360" w:end="-360"/>
        <w:jc w:val="both"/>
        <w:rPr/>
      </w:pPr>
      <w:r>
        <w:rPr/>
        <w:t xml:space="preserve">The rise in HR administrative costs can be attributed to a number of factors. Some companies, for example, have a problem with software integration, ensuring the labor-intensive need to re-enter employee data into multiple systems that can't "talk" to each other.  In other cases, HR professionals may be trying to hold on to their traditional administrative roles. "They use [HR technology] for their own good as opposed to the good of the overall organization," explains Lowenthal. "Instead of putting report creation in the hands of the line manager, they use the application to satisfy the manager's need." </w:t>
      </w:r>
    </w:p>
    <w:p>
      <w:pPr>
        <w:pStyle w:val="Normal"/>
        <w:ind w:start="360" w:end="-360"/>
        <w:jc w:val="both"/>
        <w:rPr>
          <w:sz w:val="8"/>
        </w:rPr>
      </w:pPr>
      <w:r>
        <w:rPr>
          <w:sz w:val="8"/>
        </w:rPr>
      </w:r>
    </w:p>
    <w:p>
      <w:pPr>
        <w:pStyle w:val="Normal"/>
        <w:ind w:start="360" w:end="-360"/>
        <w:jc w:val="both"/>
        <w:rPr/>
      </w:pPr>
      <w:r>
        <w:rPr/>
        <w:t>Some bright spots leap out of the recent benchmarking data. Employee self-service, for example, has positively affected timeliness, data accuracy, and workload reduction - particularly with regard to enrollment in training courses - according to the Towers Perrin study.  The payoff [for HR technology investments] is better information and faster speed, thus it is expected that better decisions are being made.  It is not seen directly in costs or in terms of employee headcount just yet.</w:t>
      </w:r>
    </w:p>
    <w:p>
      <w:pPr>
        <w:pStyle w:val="Normal"/>
        <w:ind w:start="360" w:end="-360"/>
        <w:jc w:val="both"/>
        <w:rPr>
          <w:b/>
          <w:bCs/>
          <w:sz w:val="4"/>
          <w:u w:val="single"/>
        </w:rPr>
      </w:pPr>
      <w:r>
        <w:rPr>
          <w:b/>
          <w:bCs/>
          <w:sz w:val="4"/>
          <w:u w:val="single"/>
        </w:rPr>
      </w:r>
    </w:p>
    <w:p>
      <w:pPr>
        <w:pStyle w:val="Normal"/>
        <w:ind w:start="360" w:end="-360"/>
        <w:jc w:val="both"/>
        <w:rPr/>
      </w:pPr>
      <w:hyperlink r:id="rId9">
        <w:r>
          <w:rPr>
            <w:rStyle w:val="Hyperlink"/>
          </w:rPr>
          <w:t>Link to Full Text of Article</w:t>
        </w:r>
      </w:hyperlink>
    </w:p>
    <w:p>
      <w:pPr>
        <w:pStyle w:val="Normal"/>
        <w:ind w:start="360" w:end="-360"/>
        <w:jc w:val="both"/>
        <w:rPr/>
      </w:pPr>
      <w:r>
        <w:rPr/>
      </w:r>
    </w:p>
    <w:p>
      <w:pPr>
        <w:pStyle w:val="Header"/>
        <w:tabs>
          <w:tab w:val="clear" w:pos="4320"/>
          <w:tab w:val="clear" w:pos="8640"/>
        </w:tabs>
        <w:ind w:start="360" w:end="-360"/>
        <w:jc w:val="both"/>
        <w:rPr>
          <w:sz w:val="18"/>
        </w:rPr>
      </w:pPr>
      <w:r>
        <w:rPr>
          <w:sz w:val="18"/>
        </w:rPr>
      </w:r>
    </w:p>
    <w:p>
      <w:pPr>
        <w:pStyle w:val="Header"/>
        <w:ind w:start="360" w:end="-360"/>
        <w:jc w:val="both"/>
        <w:rPr>
          <w:b/>
          <w:bCs/>
          <w:sz w:val="18"/>
          <w:u w:val="single"/>
        </w:rPr>
      </w:pPr>
      <w:r>
        <w:rPr>
          <w:b/>
          <w:bCs/>
          <w:sz w:val="18"/>
          <w:u w:val="single"/>
        </w:rPr>
      </w:r>
    </w:p>
    <w:p>
      <w:pPr>
        <w:pStyle w:val="Header"/>
        <w:ind w:start="360" w:end="-360"/>
        <w:jc w:val="center"/>
        <w:rPr>
          <w:b/>
          <w:bCs/>
          <w:sz w:val="22"/>
          <w:u w:val="single"/>
        </w:rPr>
      </w:pPr>
      <w:r>
        <w:rPr>
          <w:b/>
          <w:bCs/>
          <w:sz w:val="22"/>
          <w:u w:val="single"/>
        </w:rPr>
        <w:t>HR Security</w:t>
      </w:r>
    </w:p>
    <w:p>
      <w:pPr>
        <w:pStyle w:val="Header"/>
        <w:ind w:start="360" w:end="-360"/>
        <w:jc w:val="both"/>
        <w:rPr>
          <w:b/>
          <w:bCs/>
          <w:sz w:val="22"/>
          <w:u w:val="single"/>
        </w:rPr>
      </w:pPr>
      <w:r>
        <w:rPr>
          <w:b/>
          <w:bCs/>
          <w:sz w:val="22"/>
          <w:u w:val="single"/>
        </w:rPr>
      </w:r>
    </w:p>
    <w:p>
      <w:pPr>
        <w:pStyle w:val="Header"/>
        <w:ind w:start="360" w:end="-360"/>
        <w:jc w:val="both"/>
        <w:rPr>
          <w:b/>
          <w:bCs/>
          <w:u w:val="single"/>
        </w:rPr>
      </w:pPr>
      <w:r>
        <w:rPr>
          <w:b/>
          <w:bCs/>
          <w:u w:val="single"/>
        </w:rPr>
        <w:t>IT vulnerable to breaches by former employees</w:t>
      </w:r>
    </w:p>
    <w:p>
      <w:pPr>
        <w:pStyle w:val="Header"/>
        <w:ind w:start="360" w:end="-360"/>
        <w:jc w:val="both"/>
        <w:rPr/>
      </w:pPr>
      <w:r>
        <w:rPr/>
        <w:t xml:space="preserve">Employers beware: The employees you're handing a pink slip could cause a code red in your Information Technology systems.  That's because many companies neglect to inactivate employee access to IT systems, which thus become susceptible to security breaches. Analysts estimate that for each employee laid off, anywhere from one to six different systems can remain vulnerable to security risks if a user account is not turned off.  </w:t>
      </w:r>
      <w:r>
        <w:rPr>
          <w:u w:val="single"/>
        </w:rPr>
        <w:t>Open enrollment for benefits transactions is one online system that can be affected by such inattentiveness</w:t>
      </w:r>
      <w:r>
        <w:rPr/>
        <w:t>.</w:t>
      </w:r>
      <w:r>
        <w:rPr>
          <w:u w:val="single"/>
        </w:rPr>
        <w:t xml:space="preserve"> </w:t>
      </w:r>
    </w:p>
    <w:p>
      <w:pPr>
        <w:pStyle w:val="Header"/>
        <w:ind w:start="360" w:end="-360"/>
        <w:jc w:val="both"/>
        <w:rPr>
          <w:sz w:val="8"/>
          <w:u w:val="single"/>
        </w:rPr>
      </w:pPr>
      <w:r>
        <w:rPr>
          <w:sz w:val="8"/>
          <w:u w:val="single"/>
        </w:rPr>
      </w:r>
    </w:p>
    <w:p>
      <w:pPr>
        <w:pStyle w:val="Header"/>
        <w:ind w:start="360" w:end="-360"/>
        <w:jc w:val="both"/>
        <w:rPr/>
      </w:pPr>
      <w:r>
        <w:rPr/>
        <w:t xml:space="preserve">The more complex benefits plans become, the more difficult it is to shut down these accounts.  Dormant accounts have become a hot issue.  There's a lot of trash that never gets cleaned up.  Consultants advise IT departments to turn off users immediately to avoid an excessive number of dormant accounts which have the potential to cause major headaches for HR personnel. </w:t>
      </w:r>
    </w:p>
    <w:p>
      <w:pPr>
        <w:pStyle w:val="Header"/>
        <w:ind w:start="360" w:end="-360"/>
        <w:jc w:val="both"/>
        <w:rPr>
          <w:sz w:val="4"/>
        </w:rPr>
      </w:pPr>
      <w:r>
        <w:rPr>
          <w:sz w:val="4"/>
        </w:rPr>
      </w:r>
    </w:p>
    <w:p>
      <w:pPr>
        <w:pStyle w:val="Header"/>
        <w:ind w:start="360" w:end="-360"/>
        <w:jc w:val="both"/>
        <w:rPr>
          <w:sz w:val="22"/>
        </w:rPr>
      </w:pPr>
      <w:r>
        <w:rPr>
          <w:sz w:val="22"/>
        </w:rPr>
      </w:r>
    </w:p>
    <w:p>
      <w:pPr>
        <w:pStyle w:val="Header"/>
        <w:ind w:start="360" w:end="-360"/>
        <w:jc w:val="center"/>
        <w:rPr>
          <w:b/>
          <w:bCs/>
          <w:sz w:val="22"/>
          <w:u w:val="single"/>
        </w:rPr>
      </w:pPr>
      <w:r>
        <w:rPr>
          <w:b/>
          <w:bCs/>
          <w:sz w:val="22"/>
          <w:u w:val="single"/>
        </w:rPr>
        <w:t>Communication</w:t>
      </w:r>
    </w:p>
    <w:p>
      <w:pPr>
        <w:pStyle w:val="Header"/>
        <w:ind w:start="360" w:end="-360"/>
        <w:jc w:val="both"/>
        <w:rPr>
          <w:b/>
          <w:bCs/>
          <w:sz w:val="18"/>
          <w:u w:val="single"/>
        </w:rPr>
      </w:pPr>
      <w:r>
        <w:rPr>
          <w:b/>
          <w:bCs/>
          <w:sz w:val="18"/>
          <w:u w:val="single"/>
        </w:rPr>
      </w:r>
    </w:p>
    <w:p>
      <w:pPr>
        <w:pStyle w:val="Header"/>
        <w:ind w:start="360" w:end="-360"/>
        <w:jc w:val="both"/>
        <w:rPr>
          <w:b/>
          <w:bCs/>
          <w:u w:val="single"/>
        </w:rPr>
      </w:pPr>
      <w:r>
        <w:rPr>
          <w:b/>
          <w:bCs/>
          <w:u w:val="single"/>
        </w:rPr>
        <w:t>Study Shows Communication is Key</w:t>
      </w:r>
    </w:p>
    <w:p>
      <w:pPr>
        <w:pStyle w:val="Header"/>
        <w:ind w:start="360" w:end="-360"/>
        <w:jc w:val="both"/>
        <w:rPr/>
      </w:pPr>
      <w:r>
        <w:rPr/>
        <w:t xml:space="preserve">According to a new survey by Watson Wyatt Worldwide, 66 percent of employees who are pleased with their organizations' communications are also satisfied with their health care plan. In contrast, only 14 percent of employees who are dissatisfied with their companies' communication efforts are happy with their health care plan. </w:t>
      </w:r>
    </w:p>
    <w:p>
      <w:pPr>
        <w:pStyle w:val="Header"/>
        <w:ind w:start="360" w:end="-360"/>
        <w:jc w:val="both"/>
        <w:rPr>
          <w:sz w:val="8"/>
        </w:rPr>
      </w:pPr>
      <w:r>
        <w:rPr>
          <w:sz w:val="8"/>
        </w:rPr>
      </w:r>
    </w:p>
    <w:p>
      <w:pPr>
        <w:pStyle w:val="Header"/>
        <w:ind w:start="360" w:end="-360"/>
        <w:jc w:val="both"/>
        <w:rPr/>
      </w:pPr>
      <w:r>
        <w:rPr/>
        <w:t xml:space="preserve">What should employers do to increase employee satisfaction rates? According to Watson Wyatt Worldwide, "employers are better off investing money into helping employees understand what they already are getting, rather than instituting new practices." </w:t>
      </w:r>
    </w:p>
    <w:p>
      <w:pPr>
        <w:pStyle w:val="Header"/>
        <w:ind w:start="360" w:end="-360"/>
        <w:jc w:val="both"/>
        <w:rPr>
          <w:sz w:val="8"/>
        </w:rPr>
      </w:pPr>
      <w:r>
        <w:rPr>
          <w:sz w:val="8"/>
        </w:rPr>
      </w:r>
    </w:p>
    <w:p>
      <w:pPr>
        <w:pStyle w:val="Header"/>
        <w:ind w:start="360" w:end="-360"/>
        <w:jc w:val="both"/>
        <w:rPr/>
      </w:pPr>
      <w:r>
        <w:rPr/>
        <w:t xml:space="preserve">Half of the employers interviewed for the survey said they thought additional plan options would increase employee satisfaction, but they expressed concern about the cost implications of added choice. Seventy-five percent of employers believe offering additional options would reduce their negotiating clout, and 83 percent believe it would increase their administrative burden. </w:t>
      </w:r>
    </w:p>
    <w:p>
      <w:pPr>
        <w:pStyle w:val="Header"/>
        <w:ind w:start="360" w:end="-360"/>
        <w:jc w:val="both"/>
        <w:rPr>
          <w:sz w:val="8"/>
        </w:rPr>
      </w:pPr>
      <w:r>
        <w:rPr>
          <w:sz w:val="8"/>
        </w:rPr>
      </w:r>
    </w:p>
    <w:p>
      <w:pPr>
        <w:pStyle w:val="Header"/>
        <w:ind w:start="360" w:end="-360"/>
        <w:jc w:val="both"/>
        <w:rPr/>
      </w:pPr>
      <w:r>
        <w:rPr/>
        <w:t xml:space="preserve">In addition, unless an effective communication strategy is in place, adding additional options will simply create more confusion. Any addition of plan choices needs to be accompanied by good information, communications, and administrative systems to facilitate employee choice and enrollment, the report says. </w:t>
      </w:r>
    </w:p>
    <w:p>
      <w:pPr>
        <w:pStyle w:val="Header"/>
        <w:ind w:start="360" w:end="-360"/>
        <w:jc w:val="both"/>
        <w:rPr>
          <w:sz w:val="8"/>
        </w:rPr>
      </w:pPr>
      <w:r>
        <w:rPr>
          <w:sz w:val="8"/>
        </w:rPr>
      </w:r>
    </w:p>
    <w:p>
      <w:pPr>
        <w:pStyle w:val="Header"/>
        <w:ind w:start="360" w:end="-360"/>
        <w:jc w:val="both"/>
        <w:rPr/>
      </w:pPr>
      <w:r>
        <w:rPr/>
        <w:t xml:space="preserve">The survey also sought employees' opinions on the potential shift to defined contribution health care models. While 39 percent of respondents said they would like their employers to contribute a fixed dollar amount toward the premium for any health plan--even if employees need to find their plans on their own--the vast majority indicated they want employers to remain involved in most health care program management activities. </w:t>
      </w:r>
    </w:p>
    <w:p>
      <w:pPr>
        <w:pStyle w:val="Header"/>
        <w:ind w:start="360" w:end="-360"/>
        <w:jc w:val="both"/>
        <w:rPr>
          <w:sz w:val="8"/>
        </w:rPr>
      </w:pPr>
      <w:r>
        <w:rPr>
          <w:sz w:val="8"/>
        </w:rPr>
      </w:r>
    </w:p>
    <w:p>
      <w:pPr>
        <w:pStyle w:val="Header"/>
        <w:ind w:start="360" w:end="-360"/>
        <w:jc w:val="both"/>
        <w:rPr/>
      </w:pPr>
      <w:r>
        <w:rPr/>
        <w:t>Eight out of 10 employees participating in the survey said they want their employers to continue to negotiate price and performance of their plans. Nine out of 10 want their organizations to facilitate their enrollment and premium payment. Similar numbers prefer that employers monitor plans' administrative performance, intervene if the plan denies coverage and screen plans for quality. These responses, the report says, "hardly indicate that employees want their employers to stop sponsoring and managing health plans."</w:t>
      </w:r>
    </w:p>
    <w:p>
      <w:pPr>
        <w:pStyle w:val="Header"/>
        <w:ind w:start="360" w:end="-360"/>
        <w:jc w:val="both"/>
        <w:rPr>
          <w:color w:val="FF0000"/>
          <w:sz w:val="8"/>
        </w:rPr>
      </w:pPr>
      <w:r>
        <w:rPr>
          <w:color w:val="FF0000"/>
          <w:sz w:val="8"/>
        </w:rPr>
      </w:r>
    </w:p>
    <w:p>
      <w:pPr>
        <w:pStyle w:val="Header"/>
        <w:ind w:start="360" w:end="-360"/>
        <w:jc w:val="both"/>
        <w:rPr/>
      </w:pPr>
      <w:r>
        <w:rPr/>
        <w:t>In addition, most employees consistently underestimate the cost of their health benefits, overestimate their own contributions and are generally dissatisfied with the quality and performance of their plans, according to Watson Wyatt.</w:t>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sz w:val="18"/>
          <w:u w:val="single"/>
        </w:rPr>
      </w:pPr>
      <w:r>
        <w:rPr>
          <w:b/>
          <w:bCs/>
          <w:sz w:val="18"/>
          <w:u w:val="single"/>
        </w:rPr>
      </w:r>
    </w:p>
    <w:p>
      <w:pPr>
        <w:pStyle w:val="Header"/>
        <w:ind w:start="360" w:end="-360"/>
        <w:jc w:val="center"/>
        <w:rPr>
          <w:b/>
          <w:bCs/>
          <w:sz w:val="22"/>
          <w:u w:val="single"/>
        </w:rPr>
      </w:pPr>
      <w:r>
        <w:rPr>
          <w:b/>
          <w:bCs/>
          <w:sz w:val="22"/>
          <w:u w:val="single"/>
        </w:rPr>
        <w:t>Compensation Trends</w:t>
      </w:r>
    </w:p>
    <w:p>
      <w:pPr>
        <w:pStyle w:val="Header"/>
        <w:ind w:start="360" w:end="-360"/>
        <w:jc w:val="both"/>
        <w:rPr>
          <w:b/>
          <w:bCs/>
          <w:sz w:val="18"/>
          <w:u w:val="single"/>
        </w:rPr>
      </w:pPr>
      <w:r>
        <w:rPr>
          <w:b/>
          <w:bCs/>
          <w:sz w:val="18"/>
          <w:u w:val="single"/>
        </w:rPr>
      </w:r>
    </w:p>
    <w:p>
      <w:pPr>
        <w:pStyle w:val="Header"/>
        <w:ind w:start="360" w:end="-360"/>
        <w:jc w:val="both"/>
        <w:rPr>
          <w:b/>
          <w:bCs/>
          <w:u w:val="single"/>
        </w:rPr>
      </w:pPr>
      <w:r>
        <w:rPr>
          <w:b/>
          <w:bCs/>
          <w:u w:val="single"/>
        </w:rPr>
        <w:t>Salaries on the Rise for Class of 2001, But Getting the Job Is Tougher</w:t>
      </w:r>
    </w:p>
    <w:p>
      <w:pPr>
        <w:pStyle w:val="Header"/>
        <w:ind w:start="360" w:end="-360"/>
        <w:jc w:val="both"/>
        <w:rPr/>
      </w:pPr>
      <w:r>
        <w:rPr/>
        <w:t xml:space="preserve">Many college graduates from the class of 2001 enjoyed hefty starting salary offers, according to a new survey from the National Association of Colleges and Employers (NACE). But getting a job offer got tougher as the economy slowed. </w:t>
      </w:r>
    </w:p>
    <w:p>
      <w:pPr>
        <w:pStyle w:val="Header"/>
        <w:ind w:start="360" w:end="-360"/>
        <w:jc w:val="both"/>
        <w:rPr>
          <w:sz w:val="8"/>
        </w:rPr>
      </w:pPr>
      <w:r>
        <w:rPr>
          <w:sz w:val="8"/>
        </w:rPr>
      </w:r>
    </w:p>
    <w:p>
      <w:pPr>
        <w:pStyle w:val="Header"/>
        <w:ind w:start="360" w:end="-360"/>
        <w:jc w:val="both"/>
        <w:rPr/>
      </w:pPr>
      <w:r>
        <w:rPr/>
        <w:t xml:space="preserve">NACE's Fall 2001 Salary Survey report shows that average starting salary offers to graduates in a variety of majors increased over those posted by class of 2000 graduates. At the same time, however, many college career centers participating in the survey reported that, as the year progressed, the number of job offers waned. </w:t>
      </w:r>
    </w:p>
    <w:p>
      <w:pPr>
        <w:pStyle w:val="Header"/>
        <w:ind w:start="360" w:end="-360"/>
        <w:jc w:val="both"/>
        <w:rPr>
          <w:sz w:val="8"/>
        </w:rPr>
      </w:pPr>
      <w:r>
        <w:rPr>
          <w:sz w:val="8"/>
        </w:rPr>
      </w:r>
    </w:p>
    <w:p>
      <w:pPr>
        <w:pStyle w:val="Header"/>
        <w:ind w:start="360" w:end="-360"/>
        <w:jc w:val="both"/>
        <w:rPr/>
      </w:pPr>
      <w:r>
        <w:rPr/>
        <w:t xml:space="preserve">In a recent poll of college career centers that provide data for Salary Survey, more than half (55.9%) of the respondents indicated that their 2000-01 grads found it more difficult to find jobs than their predecessors had a year earlier. Many noted that companies were active in recruiting new college graduates for their work forces in the fall of 2000, but that recruiting activity showed a marked decline by spring 2001. </w:t>
      </w:r>
    </w:p>
    <w:p>
      <w:pPr>
        <w:pStyle w:val="Header"/>
        <w:ind w:start="360" w:end="-360"/>
        <w:jc w:val="both"/>
        <w:rPr>
          <w:b/>
          <w:bCs/>
          <w:sz w:val="22"/>
        </w:rPr>
      </w:pPr>
      <w:r>
        <w:rPr>
          <w:b/>
          <w:bCs/>
          <w:sz w:val="22"/>
        </w:rPr>
      </w:r>
    </w:p>
    <w:p>
      <w:pPr>
        <w:pStyle w:val="Header"/>
        <w:ind w:start="360" w:end="-360"/>
        <w:jc w:val="both"/>
        <w:rPr>
          <w:b/>
          <w:bCs/>
          <w:u w:val="single"/>
        </w:rPr>
      </w:pPr>
      <w:r>
        <w:rPr>
          <w:b/>
          <w:bCs/>
          <w:u w:val="single"/>
        </w:rPr>
        <w:t>Wage Trend Indicator Rolls Back to 1999 Levels</w:t>
      </w:r>
    </w:p>
    <w:p>
      <w:pPr>
        <w:pStyle w:val="Header"/>
        <w:ind w:start="360" w:end="-360"/>
        <w:jc w:val="both"/>
        <w:rPr/>
      </w:pPr>
      <w:r>
        <w:rPr/>
        <w:t>Three consecutive declines in the Wage Trend Indicator have rolled back projected pay gains to their level of two years ago, according to the latest WTI report released by the Bureau of National Affairs, Inc.</w:t>
      </w:r>
    </w:p>
    <w:p>
      <w:pPr>
        <w:pStyle w:val="Header"/>
        <w:ind w:start="360" w:end="-360"/>
        <w:jc w:val="both"/>
        <w:rPr>
          <w:sz w:val="8"/>
        </w:rPr>
      </w:pPr>
      <w:r>
        <w:rPr>
          <w:sz w:val="8"/>
        </w:rPr>
      </w:r>
    </w:p>
    <w:p>
      <w:pPr>
        <w:pStyle w:val="Header"/>
        <w:ind w:start="360" w:end="-360"/>
        <w:jc w:val="both"/>
        <w:rPr/>
      </w:pPr>
      <w:r>
        <w:rPr/>
        <w:t xml:space="preserve">The revised reading of the WTI for the third quarter 2001 is 100.36, down from 100.50 in the second quarter 2001 and 100.71 for the first quarter (second quarter 1976=100). The preliminary figure for the WTI was 100.47, according to the report released in mid-August. </w:t>
      </w:r>
    </w:p>
    <w:p>
      <w:pPr>
        <w:pStyle w:val="Header"/>
        <w:ind w:start="360" w:end="-360"/>
        <w:jc w:val="both"/>
        <w:rPr>
          <w:sz w:val="8"/>
        </w:rPr>
      </w:pPr>
      <w:r>
        <w:rPr>
          <w:sz w:val="8"/>
        </w:rPr>
      </w:r>
    </w:p>
    <w:p>
      <w:pPr>
        <w:pStyle w:val="Header"/>
        <w:ind w:start="360" w:end="-360"/>
        <w:jc w:val="both"/>
        <w:rPr/>
      </w:pPr>
      <w:r>
        <w:rPr/>
        <w:t>“</w:t>
      </w:r>
      <w:r>
        <w:rPr/>
        <w:t xml:space="preserve">The WTI’s latest reading means the index has returned to levels last seen in 1999. Shortly thereafter, the WTI rose, presaging the acceleration of private sector wage increases to about 4%,” said economist Joel Popkin. His firm, Joel Popkin &amp; Company, developed the index for BNA, a Washington, D.C.-based publishing company. Based on the latest WTI figures, Popkin predicted that over the next few months private industry wage increases will stay somewhat below 4%. </w:t>
      </w:r>
    </w:p>
    <w:p>
      <w:pPr>
        <w:pStyle w:val="Header"/>
        <w:ind w:start="360" w:end="-360"/>
        <w:jc w:val="both"/>
        <w:rPr>
          <w:sz w:val="8"/>
        </w:rPr>
      </w:pPr>
      <w:r>
        <w:rPr>
          <w:sz w:val="8"/>
        </w:rPr>
      </w:r>
    </w:p>
    <w:p>
      <w:pPr>
        <w:pStyle w:val="Header"/>
        <w:ind w:start="360" w:end="-360"/>
        <w:jc w:val="both"/>
        <w:rPr/>
      </w:pPr>
      <w:r>
        <w:rPr/>
        <w:t xml:space="preserve">The WTI detects turning points in private industry wages before they become apparent in the employment cost index, the federal government’s most comprehensive pay measure. As projected by a shift in the WTI early this year, wage gains have slowed among private sector employers, as measured by the ECI figures compiled by the Bureau of Labor Statistics. </w:t>
      </w:r>
    </w:p>
    <w:p>
      <w:pPr>
        <w:pStyle w:val="Header"/>
        <w:ind w:start="360" w:end="-360"/>
        <w:jc w:val="both"/>
        <w:rPr>
          <w:sz w:val="8"/>
        </w:rPr>
      </w:pPr>
      <w:r>
        <w:rPr>
          <w:sz w:val="8"/>
        </w:rPr>
      </w:r>
    </w:p>
    <w:p>
      <w:pPr>
        <w:pStyle w:val="Header"/>
        <w:ind w:start="360" w:end="-360"/>
        <w:jc w:val="both"/>
        <w:rPr/>
      </w:pPr>
      <w:r>
        <w:rPr/>
        <w:t xml:space="preserve">Historical patterns of the Wage Trend Indicator have shown that a sustained decline in the index predicts a moderation in the rate of wage increases paid by private employers. A steady rise in the WTI signals greater wage pressure. On average, the WTI predicts patterns six to seven months in advance of official wage data. </w:t>
      </w:r>
    </w:p>
    <w:p>
      <w:pPr>
        <w:pStyle w:val="Header"/>
        <w:ind w:start="360" w:end="-360"/>
        <w:jc w:val="both"/>
        <w:rPr>
          <w:b/>
          <w:bCs/>
          <w:sz w:val="22"/>
          <w:u w:val="single"/>
        </w:rPr>
      </w:pPr>
      <w:r>
        <w:rPr>
          <w:b/>
          <w:bCs/>
          <w:sz w:val="22"/>
          <w:u w:val="single"/>
        </w:rPr>
      </w:r>
    </w:p>
    <w:p>
      <w:pPr>
        <w:pStyle w:val="Header"/>
        <w:ind w:start="360" w:end="-360"/>
        <w:jc w:val="both"/>
        <w:rPr>
          <w:b/>
          <w:bCs/>
          <w:u w:val="single"/>
        </w:rPr>
      </w:pPr>
      <w:r>
        <w:rPr>
          <w:b/>
          <w:bCs/>
          <w:u w:val="single"/>
        </w:rPr>
        <w:t>Cashless Severance</w:t>
      </w:r>
    </w:p>
    <w:p>
      <w:pPr>
        <w:pStyle w:val="Header"/>
        <w:ind w:start="360" w:end="-360"/>
        <w:jc w:val="both"/>
        <w:rPr/>
      </w:pPr>
      <w:r>
        <w:rPr/>
        <w:t>In the face of increasing layoffs, several US-based companies are adopting a new practice of utilizing overfunded assets in pension plans to ease the financial burden of severance packages. Through a qualified severance arrangement, these companies have used overfunded assets to increase pensions by the amount of the calculated severance package, allowing those with little available cash to still offer reasonable severance arrangements to laid-off employees. Companies considering this practice should proceed with caution, however, as it not only walks a fine legal line but also could end up costing more than the existing severance program due to amortization and interest</w:t>
      </w:r>
    </w:p>
    <w:p>
      <w:pPr>
        <w:pStyle w:val="Header"/>
        <w:ind w:start="360" w:end="-360"/>
        <w:jc w:val="both"/>
        <w:rPr>
          <w:sz w:val="4"/>
        </w:rPr>
      </w:pPr>
      <w:r>
        <w:rPr>
          <w:sz w:val="4"/>
        </w:rPr>
      </w:r>
    </w:p>
    <w:p>
      <w:pPr>
        <w:pStyle w:val="Header"/>
        <w:ind w:start="360" w:end="-360"/>
        <w:jc w:val="both"/>
        <w:rPr/>
      </w:pPr>
      <w:hyperlink r:id="rId10">
        <w:r>
          <w:rPr>
            <w:rStyle w:val="Hyperlink"/>
          </w:rPr>
          <w:t>Link to Full Text of Article</w:t>
        </w:r>
      </w:hyperlink>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center"/>
        <w:rPr>
          <w:b/>
          <w:bCs/>
          <w:sz w:val="18"/>
          <w:u w:val="single"/>
        </w:rPr>
      </w:pPr>
      <w:r>
        <w:rPr>
          <w:b/>
          <w:bCs/>
          <w:sz w:val="18"/>
          <w:u w:val="single"/>
        </w:rPr>
      </w:r>
    </w:p>
    <w:p>
      <w:pPr>
        <w:pStyle w:val="Header"/>
        <w:ind w:start="360" w:end="-360"/>
        <w:jc w:val="center"/>
        <w:rPr>
          <w:b/>
          <w:bCs/>
          <w:sz w:val="22"/>
          <w:u w:val="single"/>
        </w:rPr>
      </w:pPr>
      <w:r>
        <w:rPr>
          <w:b/>
          <w:bCs/>
          <w:sz w:val="22"/>
          <w:u w:val="single"/>
        </w:rPr>
        <w:t>HR Follow-up to Terrorist Attacks</w:t>
      </w:r>
    </w:p>
    <w:p>
      <w:pPr>
        <w:pStyle w:val="Header"/>
        <w:ind w:start="360" w:end="-360"/>
        <w:jc w:val="both"/>
        <w:rPr>
          <w:b/>
          <w:bCs/>
          <w:sz w:val="22"/>
          <w:u w:val="single"/>
        </w:rPr>
      </w:pPr>
      <w:r>
        <w:rPr>
          <w:b/>
          <w:bCs/>
          <w:sz w:val="22"/>
          <w:u w:val="single"/>
        </w:rPr>
      </w:r>
    </w:p>
    <w:p>
      <w:pPr>
        <w:pStyle w:val="Header"/>
        <w:ind w:start="360" w:end="-360"/>
        <w:jc w:val="both"/>
        <w:rPr>
          <w:b/>
          <w:bCs/>
          <w:u w:val="single"/>
        </w:rPr>
      </w:pPr>
      <w:r>
        <w:rPr>
          <w:b/>
          <w:bCs/>
          <w:u w:val="single"/>
        </w:rPr>
        <w:t>Compliance Relief for U.S. Employers and Qualified Plans</w:t>
      </w:r>
    </w:p>
    <w:p>
      <w:pPr>
        <w:pStyle w:val="Header"/>
        <w:ind w:start="360" w:end="-360"/>
        <w:jc w:val="both"/>
        <w:rPr/>
      </w:pPr>
      <w:r>
        <w:rPr/>
        <w:t>As a result of the terrorist attacks in New York and Washington, D.C., a number of employers were not able to meet legal deadlines for their qualified plans. The U.S. Department of Labor (DOL) and the Internal Revenue Service (IRS) have issued guidance giving limited relief to affected employers, and the Pension Benefit Guaranty Corporation (PBGC) has said it will issue relief soon.</w:t>
      </w:r>
    </w:p>
    <w:p>
      <w:pPr>
        <w:pStyle w:val="Header"/>
        <w:ind w:start="360" w:end="-360"/>
        <w:jc w:val="both"/>
        <w:rPr>
          <w:sz w:val="8"/>
        </w:rPr>
      </w:pPr>
      <w:r>
        <w:rPr>
          <w:sz w:val="8"/>
        </w:rPr>
      </w:r>
    </w:p>
    <w:p>
      <w:pPr>
        <w:pStyle w:val="Header"/>
        <w:ind w:start="360" w:end="-360"/>
        <w:jc w:val="both"/>
        <w:rPr/>
      </w:pPr>
      <w:r>
        <w:rPr/>
        <w:t>Department of Labor - The DOL announced on September 14 that it will extend the Form 5500 filing deadline for plans and administrators affected by the September 11 attacks. In addition, the DOL said that plan fiduciaries "may in good faith find it necessary and prudent to take extraordinary steps to safeguard plan assets and facilitate the return to orderly markets."</w:t>
      </w:r>
    </w:p>
    <w:p>
      <w:pPr>
        <w:pStyle w:val="Header"/>
        <w:ind w:start="360" w:end="-360"/>
        <w:jc w:val="both"/>
        <w:rPr>
          <w:sz w:val="8"/>
        </w:rPr>
      </w:pPr>
      <w:r>
        <w:rPr>
          <w:sz w:val="8"/>
        </w:rPr>
      </w:r>
    </w:p>
    <w:p>
      <w:pPr>
        <w:pStyle w:val="Header"/>
        <w:ind w:start="360" w:end="-360"/>
        <w:jc w:val="both"/>
        <w:rPr/>
      </w:pPr>
      <w:r>
        <w:rPr/>
        <w:t xml:space="preserve">Internal Revenue Service - The IRS issued Notice 2001-61 on September 13, providing relief from payment and filing deadlines for individual and business taxpayers affected by the September 11 attacks. The IRS also issued Notice 2001-63 giving additional tax relief. However, the IRS notices do not grant relief from the retirement plan minimum contribution deadlines under Section 412 of the Internal Revenue Code. </w:t>
      </w:r>
    </w:p>
    <w:p>
      <w:pPr>
        <w:pStyle w:val="Header"/>
        <w:ind w:start="360" w:end="-360"/>
        <w:jc w:val="both"/>
        <w:rPr>
          <w:b/>
          <w:bCs/>
          <w:sz w:val="4"/>
          <w:u w:val="single"/>
        </w:rPr>
      </w:pPr>
      <w:r>
        <w:rPr>
          <w:b/>
          <w:bCs/>
          <w:sz w:val="4"/>
          <w:u w:val="single"/>
        </w:rPr>
      </w:r>
    </w:p>
    <w:p>
      <w:pPr>
        <w:pStyle w:val="Header"/>
        <w:ind w:start="360" w:end="-360"/>
        <w:jc w:val="both"/>
        <w:rPr/>
      </w:pPr>
      <w:hyperlink r:id="rId11">
        <w:r>
          <w:rPr>
            <w:rStyle w:val="Hyperlink"/>
            <w:u w:val="none"/>
          </w:rPr>
          <w:t>Link to Full Text of Article</w:t>
        </w:r>
      </w:hyperlink>
    </w:p>
    <w:p>
      <w:pPr>
        <w:pStyle w:val="Header"/>
        <w:ind w:start="360" w:end="-360"/>
        <w:jc w:val="both"/>
        <w:rPr/>
      </w:pPr>
      <w:r>
        <w:rPr/>
      </w:r>
    </w:p>
    <w:p>
      <w:pPr>
        <w:pStyle w:val="Header"/>
        <w:ind w:start="360" w:end="-360"/>
        <w:jc w:val="both"/>
        <w:rPr>
          <w:b/>
          <w:bCs/>
          <w:u w:val="single"/>
        </w:rPr>
      </w:pPr>
      <w:r>
        <w:rPr>
          <w:b/>
          <w:bCs/>
          <w:u w:val="single"/>
        </w:rPr>
        <w:t xml:space="preserve">Employer Responsibility to Employees in the Reserves </w:t>
      </w:r>
    </w:p>
    <w:p>
      <w:pPr>
        <w:pStyle w:val="Header"/>
        <w:ind w:start="360" w:end="-360"/>
        <w:jc w:val="both"/>
        <w:rPr/>
      </w:pPr>
      <w:r>
        <w:rPr/>
        <w:t xml:space="preserve">As the U.S. military plans a response to last Tuesday's attacks, employers should be prepared to comply with employment laws in the event workers are called to military duty. There are certain benefits requirements employers must adhere to as set down by the Uniformed Services Employment and Reemployment Rights Act of 1994 (USERRA). </w:t>
      </w:r>
    </w:p>
    <w:p>
      <w:pPr>
        <w:pStyle w:val="Header"/>
        <w:ind w:start="360" w:end="-360"/>
        <w:jc w:val="both"/>
        <w:rPr>
          <w:sz w:val="8"/>
        </w:rPr>
      </w:pPr>
      <w:r>
        <w:rPr>
          <w:sz w:val="8"/>
        </w:rPr>
      </w:r>
    </w:p>
    <w:p>
      <w:pPr>
        <w:pStyle w:val="Header"/>
        <w:ind w:start="360" w:end="-360"/>
        <w:jc w:val="both"/>
        <w:rPr/>
      </w:pPr>
      <w:r>
        <w:rPr/>
        <w:t xml:space="preserve">USERRA grants individuals on active duty and in select other categories the right to ask for re-employment upon return from military service for up to five years. USERRA also requires employers to offer specific pension, health and other benefits to workers on military leave and to re-employed veterans. </w:t>
      </w:r>
    </w:p>
    <w:p>
      <w:pPr>
        <w:pStyle w:val="Header"/>
        <w:ind w:start="360" w:end="-360"/>
        <w:jc w:val="both"/>
        <w:rPr>
          <w:sz w:val="8"/>
        </w:rPr>
      </w:pPr>
      <w:r>
        <w:rPr>
          <w:sz w:val="8"/>
        </w:rPr>
      </w:r>
    </w:p>
    <w:p>
      <w:pPr>
        <w:pStyle w:val="Header"/>
        <w:ind w:start="360" w:end="-360"/>
        <w:jc w:val="both"/>
        <w:rPr/>
      </w:pPr>
      <w:r>
        <w:rPr/>
        <w:t xml:space="preserve">USERRA stipulates that DB and contributory DB plans credit service and fund benefits for re-employed veterans. With respect to DC plans, employers are required to retroactively make up DC allocations for returning veterans for each plan year in which the veteran would have worked for the employer. Employers must provide COBRA-like health benefit continuation coverage to participants on military leave. </w:t>
      </w:r>
    </w:p>
    <w:p>
      <w:pPr>
        <w:pStyle w:val="Header"/>
        <w:ind w:start="360" w:end="-360"/>
        <w:jc w:val="both"/>
        <w:rPr>
          <w:b/>
          <w:bCs/>
          <w:sz w:val="8"/>
          <w:u w:val="single"/>
        </w:rPr>
      </w:pPr>
      <w:r>
        <w:rPr>
          <w:b/>
          <w:bCs/>
          <w:sz w:val="8"/>
          <w:u w:val="single"/>
        </w:rPr>
      </w:r>
    </w:p>
    <w:p>
      <w:pPr>
        <w:pStyle w:val="Header"/>
        <w:ind w:start="360" w:end="-360"/>
        <w:jc w:val="both"/>
        <w:rPr/>
      </w:pPr>
      <w:r>
        <w:rPr/>
        <w:t>National Committee for Employer Support of the Guard and Reserve was established to promote cooperation and understanding between reserve members and their civilian employers, the National Committee for Employer Support of the Guard and Reserve (ESGR) provides a wealth of useful information for employers and National Guard and Reserve members on their Web site, www.esgr.com.</w:t>
      </w:r>
    </w:p>
    <w:p>
      <w:pPr>
        <w:pStyle w:val="Header"/>
        <w:ind w:start="360" w:end="-360"/>
        <w:jc w:val="both"/>
        <w:rPr>
          <w:b/>
          <w:bCs/>
          <w:sz w:val="8"/>
          <w:u w:val="single"/>
        </w:rPr>
      </w:pPr>
      <w:r>
        <w:rPr>
          <w:b/>
          <w:bCs/>
          <w:sz w:val="8"/>
          <w:u w:val="single"/>
        </w:rPr>
      </w:r>
    </w:p>
    <w:p>
      <w:pPr>
        <w:pStyle w:val="Header"/>
        <w:ind w:start="360" w:end="-360"/>
        <w:jc w:val="both"/>
        <w:rPr/>
      </w:pPr>
      <w:r>
        <w:rPr/>
        <w:t>Reserve Officers Association - A professional military association representing the seven U.S. uniformed services, the Reserve Officers Association conducts an annual survey of Fortune 500 companies, soliciting information on corporate policy regarding emergency active duty. The results of their most recent survey are available on their Web site at www.roa.org.</w:t>
      </w:r>
    </w:p>
    <w:p>
      <w:pPr>
        <w:pStyle w:val="Header"/>
        <w:ind w:start="360" w:end="-360"/>
        <w:jc w:val="both"/>
        <w:rPr/>
      </w:pPr>
      <w:r>
        <w:rPr/>
      </w:r>
    </w:p>
    <w:p>
      <w:pPr>
        <w:pStyle w:val="Header"/>
        <w:ind w:start="360" w:end="-360"/>
        <w:jc w:val="both"/>
        <w:rPr>
          <w:b/>
          <w:bCs/>
          <w:u w:val="single"/>
        </w:rPr>
      </w:pPr>
      <w:r>
        <w:rPr>
          <w:b/>
          <w:bCs/>
          <w:u w:val="single"/>
        </w:rPr>
        <w:t>Militrary Leave sof Absence and Reemployment Rights</w:t>
      </w:r>
    </w:p>
    <w:p>
      <w:pPr>
        <w:pStyle w:val="Header"/>
        <w:ind w:start="360" w:end="-360"/>
        <w:jc w:val="both"/>
        <w:rPr>
          <w:b/>
          <w:bCs/>
          <w:sz w:val="4"/>
          <w:u w:val="single"/>
        </w:rPr>
      </w:pPr>
      <w:r>
        <w:rPr>
          <w:b/>
          <w:bCs/>
          <w:sz w:val="4"/>
          <w:u w:val="single"/>
        </w:rPr>
      </w:r>
    </w:p>
    <w:p>
      <w:pPr>
        <w:pStyle w:val="Header"/>
        <w:ind w:start="360" w:end="-360"/>
        <w:jc w:val="both"/>
        <w:rPr/>
      </w:pPr>
      <w:hyperlink r:id="rId12">
        <w:r>
          <w:rPr>
            <w:rStyle w:val="Hyperlink"/>
          </w:rPr>
          <w:t>Link to AON Report</w:t>
        </w:r>
      </w:hyperlink>
    </w:p>
    <w:p>
      <w:pPr>
        <w:pStyle w:val="Header"/>
        <w:ind w:start="360" w:end="-360"/>
        <w:jc w:val="both"/>
        <w:rPr>
          <w:sz w:val="6"/>
        </w:rPr>
      </w:pPr>
      <w:r>
        <w:rPr>
          <w:sz w:val="6"/>
        </w:rPr>
      </w:r>
    </w:p>
    <w:p>
      <w:pPr>
        <w:pStyle w:val="Header"/>
        <w:ind w:start="360" w:end="-360"/>
        <w:jc w:val="both"/>
        <w:rPr/>
      </w:pPr>
      <w:hyperlink r:id="rId13">
        <w:r>
          <w:rPr>
            <w:rStyle w:val="Hyperlink"/>
            <w:u w:val="none"/>
          </w:rPr>
          <w:t>Link to Ogletree Deakins Report</w:t>
        </w:r>
      </w:hyperlink>
    </w:p>
    <w:p>
      <w:pPr>
        <w:pStyle w:val="Header"/>
        <w:ind w:start="360" w:end="-360"/>
        <w:jc w:val="both"/>
        <w:rPr>
          <w:b/>
          <w:bCs/>
          <w:sz w:val="22"/>
          <w:u w:val="single"/>
        </w:rPr>
      </w:pPr>
      <w:r>
        <w:rPr>
          <w:b/>
          <w:bCs/>
          <w:sz w:val="22"/>
          <w:u w:val="single"/>
        </w:rPr>
      </w:r>
    </w:p>
    <w:p>
      <w:pPr>
        <w:pStyle w:val="Header"/>
        <w:ind w:start="360" w:end="-360"/>
        <w:jc w:val="both"/>
        <w:rPr>
          <w:u w:val="single"/>
        </w:rPr>
      </w:pPr>
      <w:r>
        <w:rPr>
          <w:b/>
          <w:bCs/>
          <w:u w:val="single"/>
        </w:rPr>
        <w:t>Helpful Resources for Dealing with Crises</w:t>
      </w:r>
    </w:p>
    <w:p>
      <w:pPr>
        <w:pStyle w:val="Header"/>
        <w:ind w:start="360" w:end="-360"/>
        <w:jc w:val="both"/>
        <w:rPr>
          <w:b/>
          <w:bCs/>
        </w:rPr>
      </w:pPr>
      <w:hyperlink r:id="rId14">
        <w:r>
          <w:rPr>
            <w:rStyle w:val="Hyperlink"/>
          </w:rPr>
          <w:t>Link to Additional Resources</w:t>
        </w:r>
      </w:hyperlink>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sz w:val="18"/>
          <w:u w:val="single"/>
        </w:rPr>
      </w:pPr>
      <w:r>
        <w:rPr>
          <w:b/>
          <w:bCs/>
          <w:sz w:val="18"/>
          <w:u w:val="single"/>
        </w:rPr>
      </w:r>
    </w:p>
    <w:p>
      <w:pPr>
        <w:pStyle w:val="Header"/>
        <w:ind w:start="360" w:end="-360"/>
        <w:jc w:val="both"/>
        <w:rPr>
          <w:b/>
          <w:bCs/>
          <w:u w:val="single"/>
        </w:rPr>
      </w:pPr>
      <w:r>
        <w:rPr>
          <w:b/>
          <w:bCs/>
          <w:u w:val="single"/>
        </w:rPr>
        <w:t xml:space="preserve">Fear of Flying: Business Travel Cutbacks </w:t>
      </w:r>
    </w:p>
    <w:p>
      <w:pPr>
        <w:pStyle w:val="Header"/>
        <w:ind w:start="360" w:end="-360"/>
        <w:jc w:val="both"/>
        <w:rPr/>
      </w:pPr>
      <w:r>
        <w:rPr/>
        <w:t>A Time/CNN poll released yesterday last week by Harris Interactive reports that 42 percent of Americans said they are likely to avoid air travel in response to last week's attacks. Since those people are likely to be employees, HR professionals will have to cope with fear of flying in the workplace.  "The HR person is going to find there has to be some kind of policy pronouncement for those people who are really loath to travel at this time," said Rolfe Shellenberger, senior travel consultant with Runzheimer International, a company that consults on employee travel, relocation and related issues. To avoid claims of discrimination, he suggests HR professionals "make sure that travel by air is included in job descriptions."</w:t>
      </w:r>
    </w:p>
    <w:p>
      <w:pPr>
        <w:pStyle w:val="Header"/>
        <w:ind w:start="360" w:end="-360"/>
        <w:jc w:val="both"/>
        <w:rPr/>
      </w:pPr>
      <w:hyperlink r:id="rId15">
        <w:r>
          <w:rPr>
            <w:rStyle w:val="Hyperlink"/>
          </w:rPr>
          <w:t>Link to Full Text of Article</w:t>
        </w:r>
      </w:hyperlink>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t xml:space="preserve">Tracking Worker Whereabouts May Become More Common </w:t>
      </w:r>
    </w:p>
    <w:p>
      <w:pPr>
        <w:pStyle w:val="Header"/>
        <w:ind w:start="360" w:end="-360"/>
        <w:jc w:val="both"/>
        <w:rPr/>
      </w:pPr>
      <w:r>
        <w:rPr/>
        <w:t xml:space="preserve">When disaster strikes, large companies may know instantly what data and equipment are damaged, but many can't do the same for the workers and visitors who come to their offices. </w:t>
      </w:r>
    </w:p>
    <w:p>
      <w:pPr>
        <w:pStyle w:val="Header"/>
        <w:ind w:start="360" w:end="-360"/>
        <w:jc w:val="both"/>
        <w:rPr>
          <w:sz w:val="8"/>
        </w:rPr>
      </w:pPr>
      <w:r>
        <w:rPr>
          <w:sz w:val="8"/>
        </w:rPr>
      </w:r>
    </w:p>
    <w:p>
      <w:pPr>
        <w:pStyle w:val="Header"/>
        <w:ind w:start="360" w:end="-360"/>
        <w:jc w:val="both"/>
        <w:rPr/>
      </w:pPr>
      <w:r>
        <w:rPr/>
        <w:t xml:space="preserve">Crisis management experts say the terrorist attacks may prompt a broader range of companies to more closely monitor workers' whereabouts, even at the risk of being accused of intruding on personal freedoms. </w:t>
      </w:r>
    </w:p>
    <w:p>
      <w:pPr>
        <w:pStyle w:val="Header"/>
        <w:ind w:start="360" w:end="-360"/>
        <w:jc w:val="both"/>
        <w:rPr>
          <w:b/>
          <w:bCs/>
          <w:u w:val="single"/>
        </w:rPr>
      </w:pPr>
      <w:r>
        <w:rPr>
          <w:b/>
          <w:bCs/>
          <w:u w:val="single"/>
        </w:rPr>
      </w:r>
    </w:p>
    <w:p>
      <w:pPr>
        <w:pStyle w:val="Header"/>
        <w:ind w:start="360" w:end="-360"/>
        <w:jc w:val="center"/>
        <w:rPr>
          <w:b/>
          <w:bCs/>
          <w:sz w:val="22"/>
          <w:u w:val="single"/>
        </w:rPr>
      </w:pPr>
      <w:r>
        <w:rPr>
          <w:b/>
          <w:bCs/>
          <w:sz w:val="22"/>
          <w:u w:val="single"/>
        </w:rPr>
        <w:t>Update on Ford Lawsuit</w:t>
      </w:r>
    </w:p>
    <w:p>
      <w:pPr>
        <w:pStyle w:val="Header"/>
        <w:ind w:start="360" w:end="-360"/>
        <w:jc w:val="both"/>
        <w:rPr>
          <w:b/>
          <w:bCs/>
          <w:sz w:val="22"/>
          <w:u w:val="single"/>
        </w:rPr>
      </w:pPr>
      <w:r>
        <w:rPr>
          <w:b/>
          <w:bCs/>
          <w:sz w:val="22"/>
          <w:u w:val="single"/>
        </w:rPr>
      </w:r>
    </w:p>
    <w:p>
      <w:pPr>
        <w:pStyle w:val="Header"/>
        <w:ind w:start="360" w:end="-360"/>
        <w:jc w:val="both"/>
        <w:rPr>
          <w:b/>
          <w:bCs/>
          <w:u w:val="single"/>
        </w:rPr>
      </w:pPr>
      <w:r>
        <w:rPr>
          <w:b/>
          <w:bCs/>
          <w:u w:val="single"/>
        </w:rPr>
        <w:t xml:space="preserve">Judge Denies Request to Oversee Ford's Buyout Packages </w:t>
      </w:r>
    </w:p>
    <w:p>
      <w:pPr>
        <w:pStyle w:val="Header"/>
        <w:ind w:start="360" w:end="-360"/>
        <w:jc w:val="both"/>
        <w:rPr/>
      </w:pPr>
      <w:r>
        <w:rPr/>
        <w:t xml:space="preserve">Ford Motor was spared judicial supervision of its upcoming management reorganization when a judge denied lawyers' request that he oversee the buyout packages Ford will offer soon to 5,000 white-collar workers. </w:t>
      </w:r>
    </w:p>
    <w:p>
      <w:pPr>
        <w:pStyle w:val="Header"/>
        <w:ind w:start="360" w:end="-360"/>
        <w:jc w:val="both"/>
        <w:rPr>
          <w:sz w:val="8"/>
        </w:rPr>
      </w:pPr>
      <w:r>
        <w:rPr>
          <w:sz w:val="8"/>
        </w:rPr>
      </w:r>
    </w:p>
    <w:p>
      <w:pPr>
        <w:pStyle w:val="Header"/>
        <w:ind w:start="360" w:end="-360"/>
        <w:jc w:val="both"/>
        <w:rPr/>
      </w:pPr>
      <w:r>
        <w:rPr/>
        <w:t xml:space="preserve">Wayne County Circuit Judge Edward Thomas denied a motion by lawyers representing dozens of Ford workers who are suing the automaker for alleged age, race and gender discrimination.   Attorneys for those workers said they feared Ford will lay off many other potential plaintiffs and force them to sign away their legal right to sue in exchange for their buyout package. </w:t>
      </w:r>
    </w:p>
    <w:p>
      <w:pPr>
        <w:pStyle w:val="Header"/>
        <w:ind w:start="360" w:end="-360"/>
        <w:jc w:val="both"/>
        <w:rPr>
          <w:sz w:val="8"/>
        </w:rPr>
      </w:pPr>
      <w:r>
        <w:rPr>
          <w:sz w:val="8"/>
        </w:rPr>
      </w:r>
    </w:p>
    <w:p>
      <w:pPr>
        <w:pStyle w:val="Header"/>
        <w:ind w:start="360" w:end="-360"/>
        <w:jc w:val="both"/>
        <w:rPr/>
      </w:pPr>
      <w:r>
        <w:rPr/>
        <w:t xml:space="preserve">Two potential class actions and several private suits against Ford are pending in various courts, stemming from Ford's controversial management evaluation program used last year. </w:t>
      </w:r>
    </w:p>
    <w:p>
      <w:pPr>
        <w:pStyle w:val="Header"/>
        <w:ind w:start="360" w:end="-360"/>
        <w:jc w:val="both"/>
        <w:rPr>
          <w:sz w:val="8"/>
        </w:rPr>
      </w:pPr>
      <w:r>
        <w:rPr>
          <w:sz w:val="8"/>
        </w:rPr>
      </w:r>
    </w:p>
    <w:p>
      <w:pPr>
        <w:pStyle w:val="Header"/>
        <w:ind w:start="360" w:end="-360"/>
        <w:jc w:val="both"/>
        <w:rPr/>
      </w:pPr>
      <w:r>
        <w:rPr/>
        <w:t xml:space="preserve">Sixty–six percent of Ford's LL6 workers, or those on the lowest rung of management, who got C ratings were 50 or older. Eighty percent of LL5 workers, or those on the next rung up, who got C's were 50 or older. </w:t>
      </w:r>
    </w:p>
    <w:p>
      <w:pPr>
        <w:pStyle w:val="Header"/>
        <w:ind w:start="360" w:end="-360"/>
        <w:jc w:val="both"/>
        <w:rPr>
          <w:sz w:val="22"/>
        </w:rPr>
      </w:pPr>
      <w:r>
        <w:rPr>
          <w:sz w:val="22"/>
        </w:rPr>
      </w:r>
    </w:p>
    <w:p>
      <w:pPr>
        <w:pStyle w:val="Header"/>
        <w:ind w:start="360" w:end="-360"/>
        <w:jc w:val="center"/>
        <w:rPr>
          <w:b/>
          <w:bCs/>
          <w:sz w:val="22"/>
          <w:u w:val="single"/>
        </w:rPr>
      </w:pPr>
      <w:r>
        <w:rPr>
          <w:b/>
          <w:bCs/>
          <w:sz w:val="22"/>
          <w:u w:val="single"/>
        </w:rPr>
        <w:t>Training</w:t>
      </w:r>
    </w:p>
    <w:p>
      <w:pPr>
        <w:pStyle w:val="Header"/>
        <w:ind w:start="360" w:end="-360"/>
        <w:jc w:val="both"/>
        <w:rPr>
          <w:b/>
          <w:bCs/>
          <w:sz w:val="18"/>
          <w:u w:val="single"/>
        </w:rPr>
      </w:pPr>
      <w:r>
        <w:rPr>
          <w:b/>
          <w:bCs/>
          <w:sz w:val="18"/>
          <w:u w:val="single"/>
        </w:rPr>
      </w:r>
    </w:p>
    <w:p>
      <w:pPr>
        <w:pStyle w:val="Header"/>
        <w:ind w:start="360" w:end="-360"/>
        <w:jc w:val="both"/>
        <w:rPr>
          <w:b/>
          <w:bCs/>
          <w:u w:val="single"/>
        </w:rPr>
      </w:pPr>
      <w:r>
        <w:rPr>
          <w:b/>
          <w:bCs/>
          <w:u w:val="single"/>
        </w:rPr>
        <w:t>Education benefit adds ROI to MBA</w:t>
      </w:r>
    </w:p>
    <w:p>
      <w:pPr>
        <w:pStyle w:val="Header"/>
        <w:ind w:start="360" w:end="-360"/>
        <w:jc w:val="both"/>
        <w:rPr/>
      </w:pPr>
      <w:r>
        <w:rPr/>
        <w:t xml:space="preserve">Pricewaterhouse-Cooper (PWC) has developed new standards for reimbursement of its MBA program.  As opposed to an employee paying back a loan for an MBA over a typical 15-year period, PWC offered to repay the worker's loan within three years. But to protect the investment, PWC would only repay the loan in monthly installments, provided the employee remained with the company for three years after receiving the degree. </w:t>
      </w:r>
    </w:p>
    <w:p>
      <w:pPr>
        <w:pStyle w:val="Header"/>
        <w:ind w:start="360" w:end="-360"/>
        <w:jc w:val="both"/>
        <w:rPr>
          <w:sz w:val="8"/>
        </w:rPr>
      </w:pPr>
      <w:r>
        <w:rPr>
          <w:sz w:val="8"/>
        </w:rPr>
      </w:r>
    </w:p>
    <w:p>
      <w:pPr>
        <w:pStyle w:val="Header"/>
        <w:ind w:start="360" w:end="-360"/>
        <w:jc w:val="both"/>
        <w:rPr/>
      </w:pPr>
      <w:r>
        <w:rPr/>
        <w:t xml:space="preserve">The Corporate Partnership Program (CPP) is an alternative structure for repaying student loans through corporations.  The CPP is clearly viewed by PWC as a retention program.  Not only can the CPP educate current workers, it can also attract and recruit future employees. The CPP offers companies the ability to compete with signing bonuses that many organizations linger in front of prospective young workers. The CPP repays qualifying Sallie Mae owned and serviced loans as a benefit of employment, allowing companies to contend in the most qualified employee applicant pool. </w:t>
      </w:r>
    </w:p>
    <w:p>
      <w:pPr>
        <w:pStyle w:val="Header"/>
        <w:ind w:start="360" w:end="-360"/>
        <w:jc w:val="both"/>
        <w:rPr>
          <w:sz w:val="4"/>
        </w:rPr>
      </w:pPr>
      <w:r>
        <w:rPr>
          <w:sz w:val="4"/>
        </w:rPr>
      </w:r>
    </w:p>
    <w:p>
      <w:pPr>
        <w:pStyle w:val="Header"/>
        <w:ind w:start="360" w:end="-360"/>
        <w:jc w:val="both"/>
        <w:rPr/>
      </w:pPr>
      <w:hyperlink r:id="rId16">
        <w:r>
          <w:rPr>
            <w:rStyle w:val="Hyperlink"/>
          </w:rPr>
          <w:t>Link to Full Text of Article</w:t>
        </w:r>
      </w:hyperlink>
    </w:p>
    <w:p>
      <w:pPr>
        <w:pStyle w:val="Header"/>
        <w:ind w:start="360" w:end="-360"/>
        <w:jc w:val="both"/>
        <w:rPr>
          <w:b/>
          <w:bCs/>
        </w:rPr>
      </w:pPr>
      <w:r>
        <w:rPr>
          <w:b/>
          <w:bCs/>
        </w:rPr>
      </w:r>
    </w:p>
    <w:p>
      <w:pPr>
        <w:pStyle w:val="Header"/>
        <w:ind w:start="360" w:end="-360"/>
        <w:jc w:val="both"/>
        <w:rPr>
          <w:b/>
          <w:bCs/>
        </w:rPr>
      </w:pPr>
      <w:r>
        <w:rPr>
          <w:b/>
          <w:bCs/>
        </w:rPr>
      </w:r>
    </w:p>
    <w:p>
      <w:pPr>
        <w:pStyle w:val="Header"/>
        <w:ind w:start="360" w:end="-360"/>
        <w:jc w:val="both"/>
        <w:rPr>
          <w:b/>
          <w:bCs/>
          <w:u w:val="single"/>
        </w:rPr>
      </w:pPr>
      <w:r>
        <w:rPr>
          <w:b/>
          <w:bCs/>
          <w:u w:val="single"/>
        </w:rPr>
      </w:r>
    </w:p>
    <w:p>
      <w:pPr>
        <w:pStyle w:val="Header"/>
        <w:ind w:start="360" w:end="-360"/>
        <w:jc w:val="both"/>
        <w:rPr>
          <w:b/>
          <w:bCs/>
          <w:u w:val="single"/>
        </w:rPr>
      </w:pPr>
      <w:r>
        <w:rPr>
          <w:b/>
          <w:bCs/>
          <w:u w:val="single"/>
        </w:rPr>
      </w:r>
    </w:p>
    <w:p>
      <w:pPr>
        <w:pStyle w:val="Header"/>
        <w:ind w:start="360" w:end="-360"/>
        <w:jc w:val="both"/>
        <w:rPr>
          <w:b/>
          <w:bCs/>
          <w:sz w:val="18"/>
          <w:u w:val="single"/>
        </w:rPr>
      </w:pPr>
      <w:r>
        <w:rPr>
          <w:b/>
          <w:bCs/>
          <w:sz w:val="18"/>
          <w:u w:val="single"/>
        </w:rPr>
      </w:r>
    </w:p>
    <w:p>
      <w:pPr>
        <w:pStyle w:val="Header"/>
        <w:ind w:start="360" w:end="-360"/>
        <w:jc w:val="both"/>
        <w:rPr>
          <w:b/>
          <w:bCs/>
          <w:u w:val="single"/>
        </w:rPr>
      </w:pPr>
      <w:r>
        <w:rPr>
          <w:b/>
          <w:bCs/>
          <w:u w:val="single"/>
        </w:rPr>
        <w:t>E-Learning Gaining Momentum</w:t>
      </w:r>
    </w:p>
    <w:p>
      <w:pPr>
        <w:pStyle w:val="Header"/>
        <w:ind w:start="360" w:end="-360"/>
        <w:jc w:val="both"/>
        <w:rPr/>
      </w:pPr>
      <w:r>
        <w:rPr/>
        <w:t>Companies with the most successful e-learning programs have adopted strategic steps -- and an overall approach aligned with the corporate mission, vision and values -- that allow them to implement effective comprehensive e-learning initiatives in their organizations, according to Bruce Walton, senior consultant at Watson Wyatt Worldwide.  Walton also identified six steps to help ensure the success of an e-learning strategy:</w:t>
      </w:r>
    </w:p>
    <w:p>
      <w:pPr>
        <w:pStyle w:val="Header"/>
        <w:ind w:start="360" w:end="-360"/>
        <w:jc w:val="both"/>
        <w:rPr>
          <w:sz w:val="8"/>
        </w:rPr>
      </w:pPr>
      <w:r>
        <w:rPr>
          <w:sz w:val="8"/>
        </w:rPr>
      </w:r>
    </w:p>
    <w:p>
      <w:pPr>
        <w:pStyle w:val="Header"/>
        <w:numPr>
          <w:ilvl w:val="0"/>
          <w:numId w:val="5"/>
        </w:numPr>
        <w:ind w:hanging="360" w:start="720" w:end="-360"/>
        <w:jc w:val="both"/>
        <w:rPr/>
      </w:pPr>
      <w:r>
        <w:rPr/>
        <w:t xml:space="preserve">Gain executive-level support. </w:t>
      </w:r>
    </w:p>
    <w:p>
      <w:pPr>
        <w:pStyle w:val="Header"/>
        <w:numPr>
          <w:ilvl w:val="0"/>
          <w:numId w:val="4"/>
        </w:numPr>
        <w:ind w:hanging="0" w:start="360" w:end="-360"/>
        <w:jc w:val="both"/>
        <w:rPr/>
      </w:pPr>
      <w:r>
        <w:rPr/>
        <w:t xml:space="preserve">Build a sound and compelling business case that can be easily communicated. </w:t>
      </w:r>
    </w:p>
    <w:p>
      <w:pPr>
        <w:pStyle w:val="Header"/>
        <w:numPr>
          <w:ilvl w:val="0"/>
          <w:numId w:val="4"/>
        </w:numPr>
        <w:ind w:hanging="0" w:start="360" w:end="-360"/>
        <w:jc w:val="both"/>
        <w:rPr/>
      </w:pPr>
      <w:r>
        <w:rPr/>
        <w:t xml:space="preserve">Develop a phased implementation plan. </w:t>
      </w:r>
    </w:p>
    <w:p>
      <w:pPr>
        <w:pStyle w:val="Header"/>
        <w:numPr>
          <w:ilvl w:val="0"/>
          <w:numId w:val="4"/>
        </w:numPr>
        <w:ind w:hanging="0" w:start="360" w:end="-360"/>
        <w:jc w:val="both"/>
        <w:rPr/>
      </w:pPr>
      <w:r>
        <w:rPr/>
        <w:t xml:space="preserve">Build the right implementation team -- both insiders and outsiders who can be focused and committed to the effort. </w:t>
      </w:r>
    </w:p>
    <w:p>
      <w:pPr>
        <w:pStyle w:val="Header"/>
        <w:numPr>
          <w:ilvl w:val="0"/>
          <w:numId w:val="4"/>
        </w:numPr>
        <w:ind w:hanging="0" w:start="360" w:end="-360"/>
        <w:jc w:val="both"/>
        <w:rPr/>
      </w:pPr>
      <w:r>
        <w:rPr/>
        <w:t xml:space="preserve">Plan carefully for the employee adjustment period. </w:t>
      </w:r>
    </w:p>
    <w:p>
      <w:pPr>
        <w:pStyle w:val="Header"/>
        <w:numPr>
          <w:ilvl w:val="0"/>
          <w:numId w:val="4"/>
        </w:numPr>
        <w:ind w:hanging="0" w:start="360" w:end="-360"/>
        <w:jc w:val="both"/>
        <w:rPr/>
      </w:pPr>
      <w:r>
        <w:rPr/>
        <w:t>Understand that employee feedback is good.</w:t>
      </w:r>
    </w:p>
    <w:p>
      <w:pPr>
        <w:pStyle w:val="Header"/>
        <w:ind w:start="360" w:end="-360"/>
        <w:jc w:val="both"/>
        <w:rPr>
          <w:b/>
          <w:bCs/>
        </w:rPr>
      </w:pPr>
      <w:r>
        <w:rPr>
          <w:b/>
          <w:bCs/>
        </w:rPr>
      </w:r>
    </w:p>
    <w:p>
      <w:pPr>
        <w:pStyle w:val="Header"/>
        <w:ind w:start="360" w:end="-360"/>
        <w:jc w:val="center"/>
        <w:rPr>
          <w:b/>
          <w:bCs/>
          <w:sz w:val="22"/>
          <w:u w:val="single"/>
        </w:rPr>
      </w:pPr>
      <w:r>
        <w:rPr>
          <w:b/>
          <w:bCs/>
          <w:sz w:val="22"/>
          <w:u w:val="single"/>
        </w:rPr>
        <w:t>U.K. HR News</w:t>
      </w:r>
    </w:p>
    <w:p>
      <w:pPr>
        <w:pStyle w:val="Header"/>
        <w:ind w:start="360" w:end="-360"/>
        <w:jc w:val="both"/>
        <w:rPr>
          <w:b/>
          <w:bCs/>
          <w:sz w:val="22"/>
          <w:u w:val="single"/>
        </w:rPr>
      </w:pPr>
      <w:r>
        <w:rPr>
          <w:b/>
          <w:bCs/>
          <w:sz w:val="22"/>
          <w:u w:val="single"/>
        </w:rPr>
      </w:r>
    </w:p>
    <w:p>
      <w:pPr>
        <w:pStyle w:val="Header"/>
        <w:ind w:start="360" w:end="-360"/>
        <w:jc w:val="both"/>
        <w:rPr>
          <w:b/>
          <w:bCs/>
          <w:u w:val="single"/>
        </w:rPr>
      </w:pPr>
      <w:r>
        <w:rPr>
          <w:b/>
          <w:bCs/>
          <w:u w:val="single"/>
        </w:rPr>
        <w:t>Finance and consultancy lead London's job losses, report shows</w:t>
      </w:r>
    </w:p>
    <w:p>
      <w:pPr>
        <w:pStyle w:val="Header"/>
        <w:ind w:start="360" w:end="-360"/>
        <w:jc w:val="both"/>
        <w:rPr/>
      </w:pPr>
      <w:r>
        <w:rPr/>
        <w:t xml:space="preserve">There will be 144,000 fewer jobs in London by the end of 2002 than there were by the end of 2000, according to a new report by the Centre for Economics and Business Research. This predicted downward trend is partly due to the poor outlook for the financial services and business services sectors. </w:t>
      </w:r>
    </w:p>
    <w:p>
      <w:pPr>
        <w:pStyle w:val="Header"/>
        <w:ind w:start="360" w:end="-360"/>
        <w:jc w:val="both"/>
        <w:rPr>
          <w:sz w:val="8"/>
        </w:rPr>
      </w:pPr>
      <w:r>
        <w:rPr>
          <w:sz w:val="8"/>
        </w:rPr>
      </w:r>
    </w:p>
    <w:p>
      <w:pPr>
        <w:pStyle w:val="Header"/>
        <w:ind w:start="360" w:end="-360"/>
        <w:jc w:val="both"/>
        <w:rPr/>
      </w:pPr>
      <w:r>
        <w:rPr/>
        <w:t xml:space="preserve">Growth in financial services in London is expected to fall from six per cent in 2000 to 0.7 per cent in 2002. In the business services sector, which accounts for 30 per cent of London's gross domestic product and covers sectors such as IT consultancy, management consultancy and accountancy, the forecast is from 4.6 per cent to 1.6 per cent over the two years. A CEBR spokesman told Complinet that 55,000 of the jobs are currently held by people living in London. The remainder will be made up of jobs belonging to people who commute into the capital and those who would have migrated there under better economic conditions. </w:t>
      </w:r>
    </w:p>
    <w:p>
      <w:pPr>
        <w:pStyle w:val="Header"/>
        <w:ind w:start="360" w:end="-360"/>
        <w:jc w:val="both"/>
        <w:rPr>
          <w:sz w:val="8"/>
        </w:rPr>
      </w:pPr>
      <w:r>
        <w:rPr>
          <w:sz w:val="8"/>
        </w:rPr>
      </w:r>
    </w:p>
    <w:p>
      <w:pPr>
        <w:pStyle w:val="Header"/>
        <w:ind w:start="360" w:end="-360"/>
        <w:jc w:val="both"/>
        <w:rPr/>
      </w:pPr>
      <w:r>
        <w:rPr/>
        <w:t xml:space="preserve">These forecasts show the London GDP growth rate falling below the UK national rate this year for the first time since 1992 - 1.8 per cent compared with 2.1 per cent for the UK. The spokesman predicted that the economic prospects would more likely be a slowdown rather than a full-blown recession and the end of 2004 would see an upturn in growth. </w:t>
      </w:r>
    </w:p>
    <w:p>
      <w:pPr>
        <w:pStyle w:val="Header"/>
        <w:ind w:start="360" w:end="-360"/>
        <w:jc w:val="both"/>
        <w:rPr/>
      </w:pPr>
      <w:r>
        <w:rPr/>
      </w:r>
    </w:p>
    <w:p>
      <w:pPr>
        <w:pStyle w:val="Header"/>
        <w:ind w:start="360" w:end="-360"/>
        <w:jc w:val="both"/>
        <w:rPr>
          <w:b/>
          <w:bCs/>
          <w:u w:val="single"/>
        </w:rPr>
      </w:pPr>
      <w:r>
        <w:rPr>
          <w:b/>
          <w:bCs/>
          <w:u w:val="single"/>
        </w:rPr>
        <w:t>City employees work the longest hours in the UK, research finds</w:t>
      </w:r>
    </w:p>
    <w:p>
      <w:pPr>
        <w:pStyle w:val="Header"/>
        <w:ind w:start="360" w:end="-360"/>
        <w:jc w:val="both"/>
        <w:rPr/>
      </w:pPr>
      <w:r>
        <w:rPr/>
        <w:t xml:space="preserve">Staff in the City of London and Canary Wharf in the Docklands work the longest hours in the UK, new research by employment law firm Peninsula has found. Their working week is typically 54 hours while the average figure for the rest of London within the M25 is about 45. Peter Done, managing director of the firm, stressed that these are averages and many people reported working far longer hours. </w:t>
      </w:r>
    </w:p>
    <w:p>
      <w:pPr>
        <w:pStyle w:val="Header"/>
        <w:ind w:start="360" w:end="-360"/>
        <w:jc w:val="both"/>
        <w:rPr>
          <w:sz w:val="8"/>
        </w:rPr>
      </w:pPr>
      <w:r>
        <w:rPr>
          <w:sz w:val="8"/>
        </w:rPr>
      </w:r>
    </w:p>
    <w:p>
      <w:pPr>
        <w:pStyle w:val="Header"/>
        <w:ind w:start="360" w:end="-360"/>
        <w:jc w:val="both"/>
        <w:rPr/>
      </w:pPr>
      <w:r>
        <w:rPr/>
        <w:t xml:space="preserve">Hours for other cities: </w:t>
      </w:r>
    </w:p>
    <w:p>
      <w:pPr>
        <w:pStyle w:val="Header"/>
        <w:ind w:start="360" w:end="-360"/>
        <w:jc w:val="both"/>
        <w:rPr>
          <w:sz w:val="6"/>
        </w:rPr>
      </w:pPr>
      <w:r>
        <w:rPr>
          <w:sz w:val="6"/>
        </w:rPr>
      </w:r>
    </w:p>
    <w:p>
      <w:pPr>
        <w:pStyle w:val="Header"/>
        <w:ind w:start="360" w:end="-360"/>
        <w:jc w:val="both"/>
        <w:rPr/>
      </w:pPr>
      <w:r>
        <w:rPr/>
        <w:t>Edinburgh:</w:t>
        <w:tab/>
        <w:t xml:space="preserve"> 44.0 </w:t>
      </w:r>
    </w:p>
    <w:p>
      <w:pPr>
        <w:pStyle w:val="Header"/>
        <w:ind w:start="360" w:end="-360"/>
        <w:jc w:val="both"/>
        <w:rPr/>
      </w:pPr>
      <w:r>
        <w:rPr/>
        <w:t xml:space="preserve">Dublin: </w:t>
        <w:tab/>
        <w:t xml:space="preserve">42.5 </w:t>
      </w:r>
    </w:p>
    <w:p>
      <w:pPr>
        <w:pStyle w:val="Header"/>
        <w:ind w:start="360" w:end="-360"/>
        <w:jc w:val="both"/>
        <w:rPr/>
      </w:pPr>
      <w:r>
        <w:rPr/>
        <w:t xml:space="preserve">Glasgow: </w:t>
        <w:tab/>
        <w:t xml:space="preserve">42.0 </w:t>
      </w:r>
    </w:p>
    <w:p>
      <w:pPr>
        <w:pStyle w:val="Header"/>
        <w:ind w:start="360" w:end="-360"/>
        <w:jc w:val="both"/>
        <w:rPr/>
      </w:pPr>
      <w:r>
        <w:rPr/>
        <w:t>Sheffield:</w:t>
        <w:tab/>
        <w:t xml:space="preserve"> 42.0 </w:t>
      </w:r>
    </w:p>
    <w:p>
      <w:pPr>
        <w:pStyle w:val="Header"/>
        <w:ind w:start="360" w:end="-360"/>
        <w:jc w:val="both"/>
        <w:rPr/>
      </w:pPr>
      <w:r>
        <w:rPr/>
        <w:t xml:space="preserve">Liverpool: </w:t>
        <w:tab/>
        <w:t xml:space="preserve">41.5 </w:t>
      </w:r>
    </w:p>
    <w:p>
      <w:pPr>
        <w:pStyle w:val="Header"/>
        <w:ind w:start="360" w:end="-360"/>
        <w:jc w:val="both"/>
        <w:rPr/>
      </w:pPr>
      <w:r>
        <w:rPr/>
        <w:t xml:space="preserve">Birmingham: </w:t>
        <w:tab/>
        <w:t xml:space="preserve">41.5 </w:t>
      </w:r>
    </w:p>
    <w:p>
      <w:pPr>
        <w:pStyle w:val="Header"/>
        <w:ind w:start="360" w:end="-360"/>
        <w:jc w:val="both"/>
        <w:rPr/>
      </w:pPr>
      <w:r>
        <w:rPr/>
        <w:t xml:space="preserve">Newcastle: </w:t>
        <w:tab/>
        <w:t>41.0</w:t>
      </w:r>
    </w:p>
    <w:p>
      <w:pPr>
        <w:pStyle w:val="Header"/>
        <w:ind w:start="360" w:end="-360"/>
        <w:jc w:val="both"/>
        <w:rPr/>
      </w:pPr>
      <w:r>
        <w:rPr/>
      </w:r>
    </w:p>
    <w:p>
      <w:pPr>
        <w:pStyle w:val="Header"/>
        <w:ind w:start="360" w:end="-360"/>
        <w:jc w:val="both"/>
        <w:rPr/>
      </w:pPr>
      <w:r>
        <w:rPr/>
        <w:t>The research also shows that employees across the UK are working longer hours than they were in 1999, when previous Peninsula research was conducted. Employees are increasingly being asked to opt out of the Working Time Regulations, Done told Complinet.</w:t>
      </w:r>
    </w:p>
    <w:p>
      <w:pPr>
        <w:pStyle w:val="Header"/>
        <w:ind w:start="360" w:end="-360"/>
        <w:jc w:val="both"/>
        <w:rPr/>
      </w:pPr>
      <w:r>
        <w:rPr/>
      </w:r>
    </w:p>
    <w:p>
      <w:pPr>
        <w:pStyle w:val="Header"/>
        <w:ind w:start="360" w:end="-360"/>
        <w:jc w:val="both"/>
        <w:rPr/>
      </w:pPr>
      <w:r>
        <w:rPr/>
      </w:r>
    </w:p>
    <w:sectPr>
      <w:headerReference w:type="default" r:id="rId17"/>
      <w:headerReference w:type="first" r:id="rId18"/>
      <w:footerReference w:type="default" r:id="rId19"/>
      <w:footerReference w:type="first" r:id="rId20"/>
      <w:type w:val="nextPage"/>
      <w:pgSz w:w="12240" w:h="15840"/>
      <w:pgMar w:left="1080" w:right="1800" w:gutter="0" w:header="720" w:top="1440" w:footer="720" w:bottom="776"/>
      <w:pgBorders w:display="allPages" w:offsetFrom="page">
        <w:top w:val="single" w:sz="18" w:space="24" w:color="000000"/>
        <w:left w:val="single" w:sz="18" w:space="24" w:color="000000"/>
        <w:bottom w:val="single" w:sz="18" w:space="24" w:color="000000"/>
        <w:right w:val="single" w:sz="18" w:space="24" w:color="0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12</w:t>
    </w:r>
    <w:r>
      <w:rPr/>
      <w:fldChar w:fldCharType="end"/>
    </w:r>
    <w:r>
      <w:rPr/>
      <w:t xml:space="preserve"> -</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1" w:color="000000"/>
        <w:left w:val="single" w:sz="18" w:space="4" w:color="000000"/>
        <w:bottom w:val="single" w:sz="18" w:space="1" w:color="000000"/>
        <w:right w:val="single" w:sz="18" w:space="4" w:color="000000"/>
      </w:pBdr>
      <w:ind w:end="-720"/>
      <w:jc w:val="center"/>
      <w:rPr>
        <w:b/>
        <w:bCs/>
        <w:smallCaps/>
        <w:emboss/>
        <w:color w:val="003366"/>
        <w:sz w:val="36"/>
      </w:rPr>
    </w:pPr>
    <w:r>
      <w:rPr>
        <w:b/>
        <w:bCs/>
        <w:smallCaps/>
        <w:emboss/>
        <w:color w:val="003366"/>
        <w:sz w:val="36"/>
      </w:rPr>
      <w:t>Enron HR Newsletter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0" w:hanging="360"/>
      </w:pPr>
      <w:rPr>
        <w:rFonts w:ascii="Symbol" w:hAnsi="Symbol" w:cs="Symbol" w:hint="default"/>
        <w:sz w:val="20"/>
      </w:r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abstractNum>
  <w:abstractNum w:abstractNumId="4">
    <w:lvl w:ilvl="0">
      <w:start w:val="1"/>
      <w:numFmt w:val="bullet"/>
      <w:lvlText w:val=""/>
      <w:lvlJc w:val="start"/>
      <w:pPr>
        <w:tabs>
          <w:tab w:val="num" w:pos="720"/>
        </w:tabs>
        <w:ind w:start="720" w:hanging="360"/>
      </w:pPr>
      <w:rPr>
        <w:rFonts w:ascii="Wingdings" w:hAnsi="Wingdings" w:cs="Wingdings" w:hint="default"/>
        <w:sz w:val="16"/>
      </w:rPr>
    </w:lvl>
  </w:abstractNum>
  <w:abstractNum w:abstractNumId="5">
    <w:lvl w:ilvl="0">
      <w:start w:val="1"/>
      <w:numFmt w:val="bullet"/>
      <w:lvlText w:val=""/>
      <w:lvlJc w:val="start"/>
      <w:pPr>
        <w:tabs>
          <w:tab w:val="num" w:pos="720"/>
        </w:tabs>
        <w:ind w:start="720" w:hanging="360"/>
      </w:pPr>
      <w:rPr>
        <w:rFonts w:ascii="Wingdings" w:hAnsi="Wingdings" w:cs="Wingdings" w:hint="default"/>
        <w:sz w:val="16"/>
      </w:rPr>
    </w:lvl>
  </w:abstractNum>
  <w:abstractNum w:abstractNumId="6">
    <w:lvl w:ilvl="0">
      <w:start w:val="1"/>
      <w:numFmt w:val="bullet"/>
      <w:lvlText w:val=""/>
      <w:lvlJc w:val="start"/>
      <w:pPr>
        <w:tabs>
          <w:tab w:val="num" w:pos="0"/>
        </w:tabs>
        <w:ind w:start="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Tahoma" w:hAnsi="Tahoma" w:cs="Tahoma"/>
      <w:sz w:val="36"/>
    </w:rPr>
  </w:style>
  <w:style w:type="paragraph" w:styleId="Heading2">
    <w:name w:val="heading 2"/>
    <w:basedOn w:val="Normal"/>
    <w:next w:val="Normal"/>
    <w:qFormat/>
    <w:pPr>
      <w:keepNext w:val="true"/>
      <w:numPr>
        <w:ilvl w:val="1"/>
        <w:numId w:val="1"/>
      </w:numPr>
      <w:jc w:val="center"/>
      <w:outlineLvl w:val="1"/>
    </w:pPr>
    <w:rPr>
      <w:rFonts w:ascii="Tahoma" w:hAnsi="Tahoma" w:cs="Tahoma"/>
      <w:b/>
      <w:bCs/>
      <w:sz w:val="36"/>
    </w:rPr>
  </w:style>
  <w:style w:type="paragraph" w:styleId="Heading3">
    <w:name w:val="heading 3"/>
    <w:basedOn w:val="Normal"/>
    <w:next w:val="Normal"/>
    <w:qFormat/>
    <w:pPr>
      <w:keepNext w:val="true"/>
      <w:numPr>
        <w:ilvl w:val="2"/>
        <w:numId w:val="1"/>
      </w:numPr>
      <w:jc w:val="center"/>
      <w:outlineLvl w:val="2"/>
    </w:pPr>
    <w:rPr>
      <w:b/>
      <w:bCs/>
      <w:sz w:val="24"/>
      <w:u w:val="single"/>
    </w:rPr>
  </w:style>
  <w:style w:type="paragraph" w:styleId="Heading4">
    <w:name w:val="heading 4"/>
    <w:basedOn w:val="Normal"/>
    <w:next w:val="Normal"/>
    <w:qFormat/>
    <w:pPr>
      <w:keepNext w:val="true"/>
      <w:numPr>
        <w:ilvl w:val="3"/>
        <w:numId w:val="1"/>
      </w:numPr>
      <w:jc w:val="both"/>
      <w:outlineLvl w:val="3"/>
    </w:pPr>
    <w:rPr>
      <w:b/>
      <w:bCs/>
      <w:u w:val="single"/>
    </w:rPr>
  </w:style>
  <w:style w:type="paragraph" w:styleId="Heading5">
    <w:name w:val="heading 5"/>
    <w:basedOn w:val="Normal"/>
    <w:next w:val="Normal"/>
    <w:qFormat/>
    <w:pPr>
      <w:keepNext w:val="true"/>
      <w:numPr>
        <w:ilvl w:val="4"/>
        <w:numId w:val="1"/>
      </w:numPr>
      <w:autoSpaceDE w:val="false"/>
      <w:jc w:val="center"/>
      <w:outlineLvl w:val="4"/>
    </w:pPr>
    <w:rPr>
      <w:b/>
      <w:bCs/>
      <w:sz w:val="22"/>
      <w:u w:val="single"/>
    </w:rPr>
  </w:style>
  <w:style w:type="paragraph" w:styleId="Heading6">
    <w:name w:val="heading 6"/>
    <w:basedOn w:val="Normal"/>
    <w:next w:val="Normal"/>
    <w:qFormat/>
    <w:pPr>
      <w:keepNext w:val="true"/>
      <w:numPr>
        <w:ilvl w:val="5"/>
        <w:numId w:val="1"/>
      </w:numPr>
      <w:jc w:val="both"/>
      <w:outlineLvl w:val="5"/>
    </w:pPr>
    <w:rPr>
      <w:b/>
      <w:bCs/>
    </w:rPr>
  </w:style>
  <w:style w:type="paragraph" w:styleId="Heading7">
    <w:name w:val="heading 7"/>
    <w:basedOn w:val="Normal"/>
    <w:next w:val="Normal"/>
    <w:qFormat/>
    <w:pPr>
      <w:keepNext w:val="true"/>
      <w:numPr>
        <w:ilvl w:val="6"/>
        <w:numId w:val="1"/>
      </w:numPr>
      <w:outlineLvl w:val="6"/>
    </w:pPr>
    <w:rPr>
      <w:b/>
      <w:bCs/>
    </w:rPr>
  </w:style>
  <w:style w:type="paragraph" w:styleId="Heading8">
    <w:name w:val="heading 8"/>
    <w:basedOn w:val="Normal"/>
    <w:next w:val="Normal"/>
    <w:qFormat/>
    <w:pPr>
      <w:keepNext w:val="true"/>
      <w:numPr>
        <w:ilvl w:val="7"/>
        <w:numId w:val="1"/>
      </w:numPr>
      <w:outlineLvl w:val="7"/>
    </w:pPr>
    <w:rPr>
      <w:b/>
      <w:bCs/>
      <w:sz w:val="18"/>
    </w:rPr>
  </w:style>
  <w:style w:type="paragraph" w:styleId="Heading9">
    <w:name w:val="heading 9"/>
    <w:basedOn w:val="Normal"/>
    <w:next w:val="Normal"/>
    <w:qFormat/>
    <w:pPr>
      <w:keepNext w:val="true"/>
      <w:numPr>
        <w:ilvl w:val="8"/>
        <w:numId w:val="1"/>
      </w:numPr>
      <w:outlineLvl w:val="8"/>
    </w:pPr>
    <w:rPr>
      <w:b/>
      <w:bCs/>
      <w:color w:val="FFFFFF"/>
      <w:sz w:val="24"/>
      <w:szCs w:val="20"/>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sz w:val="16"/>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sz w:val="2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sz w:val="20"/>
    </w:rPr>
  </w:style>
  <w:style w:type="character" w:styleId="WW8Num41z1">
    <w:name w:val="WW8Num41z1"/>
    <w:qFormat/>
    <w:rPr>
      <w:rFonts w:ascii="Courier New" w:hAnsi="Courier New" w:cs="Courier New"/>
      <w:sz w:val="20"/>
    </w:rPr>
  </w:style>
  <w:style w:type="character" w:styleId="WW8Num41z2">
    <w:name w:val="WW8Num41z2"/>
    <w:qFormat/>
    <w:rPr>
      <w:rFonts w:ascii="Wingdings" w:hAnsi="Wingdings" w:cs="Wingdings"/>
      <w:sz w:val="20"/>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sz w:val="20"/>
    </w:rPr>
  </w:style>
  <w:style w:type="character" w:styleId="WW8Num43z1">
    <w:name w:val="WW8Num43z1"/>
    <w:qFormat/>
    <w:rPr>
      <w:rFonts w:ascii="Courier New" w:hAnsi="Courier New" w:cs="Courier New"/>
      <w:sz w:val="20"/>
    </w:rPr>
  </w:style>
  <w:style w:type="character" w:styleId="WW8Num43z2">
    <w:name w:val="WW8Num43z2"/>
    <w:qFormat/>
    <w:rPr>
      <w:rFonts w:ascii="Wingdings" w:hAnsi="Wingdings" w:cs="Wingdings"/>
      <w:sz w:val="20"/>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Wingdings" w:hAnsi="Wingdings" w:cs="Wingdings"/>
      <w:sz w:val="16"/>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sz w:val="2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sz w:val="20"/>
    </w:rPr>
  </w:style>
  <w:style w:type="character" w:styleId="WW8Num49z1">
    <w:name w:val="WW8Num49z1"/>
    <w:qFormat/>
    <w:rPr>
      <w:rFonts w:ascii="Courier New" w:hAnsi="Courier New" w:cs="Courier New"/>
      <w:sz w:val="20"/>
    </w:rPr>
  </w:style>
  <w:style w:type="character" w:styleId="WW8Num49z2">
    <w:name w:val="WW8Num49z2"/>
    <w:qFormat/>
    <w:rPr>
      <w:rFonts w:ascii="Wingdings" w:hAnsi="Wingdings" w:cs="Wingdings"/>
      <w:sz w:val="20"/>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Symbol" w:hAnsi="Symbol" w:cs="Symbol"/>
      <w:sz w:val="20"/>
    </w:rPr>
  </w:style>
  <w:style w:type="character" w:styleId="WW8Num52z1">
    <w:name w:val="WW8Num52z1"/>
    <w:qFormat/>
    <w:rPr>
      <w:rFonts w:ascii="Courier New" w:hAnsi="Courier New" w:cs="Courier New"/>
      <w:sz w:val="20"/>
    </w:rPr>
  </w:style>
  <w:style w:type="character" w:styleId="WW8Num52z2">
    <w:name w:val="WW8Num52z2"/>
    <w:qFormat/>
    <w:rPr>
      <w:rFonts w:ascii="Wingdings" w:hAnsi="Wingdings" w:cs="Wingdings"/>
      <w:sz w:val="20"/>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sz w:val="20"/>
    </w:rPr>
  </w:style>
  <w:style w:type="character" w:styleId="WW8Num54z1">
    <w:name w:val="WW8Num54z1"/>
    <w:qFormat/>
    <w:rPr>
      <w:rFonts w:ascii="Courier New" w:hAnsi="Courier New" w:cs="Courier New"/>
      <w:sz w:val="20"/>
    </w:rPr>
  </w:style>
  <w:style w:type="character" w:styleId="WW8Num54z2">
    <w:name w:val="WW8Num54z2"/>
    <w:qFormat/>
    <w:rPr>
      <w:rFonts w:ascii="Wingdings" w:hAnsi="Wingdings" w:cs="Wingdings"/>
      <w:sz w:val="20"/>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sz w:val="20"/>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Symbol" w:hAnsi="Symbol" w:cs="Symbol"/>
      <w:sz w:val="20"/>
    </w:rPr>
  </w:style>
  <w:style w:type="character" w:styleId="WW8Num57z1">
    <w:name w:val="WW8Num57z1"/>
    <w:qFormat/>
    <w:rPr>
      <w:rFonts w:ascii="Courier New" w:hAnsi="Courier New" w:cs="Courier New"/>
      <w:sz w:val="20"/>
    </w:rPr>
  </w:style>
  <w:style w:type="character" w:styleId="WW8Num57z2">
    <w:name w:val="WW8Num57z2"/>
    <w:qFormat/>
    <w:rPr>
      <w:rFonts w:ascii="Wingdings" w:hAnsi="Wingdings" w:cs="Wingdings"/>
      <w:sz w:val="20"/>
    </w:rPr>
  </w:style>
  <w:style w:type="character" w:styleId="WW8Num59z0">
    <w:name w:val="WW8Num59z0"/>
    <w:qFormat/>
    <w:rPr>
      <w:rFonts w:ascii="Wingdings" w:hAnsi="Wingdings" w:cs="Wingdings"/>
      <w:sz w:val="16"/>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Wingdings" w:hAnsi="Wingdings" w:cs="Wingdings"/>
      <w:sz w:val="16"/>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rFonts w:ascii="Symbol" w:hAnsi="Symbol" w:cs="Symbol"/>
      <w:sz w:val="20"/>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Symbol" w:hAnsi="Symbol" w:cs="Symbol"/>
      <w:sz w:val="2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8z0">
    <w:name w:val="WW8Num68z0"/>
    <w:qFormat/>
    <w:rPr>
      <w:rFonts w:ascii="Symbol" w:hAnsi="Symbol" w:cs="Symbol"/>
      <w:sz w:val="20"/>
    </w:rPr>
  </w:style>
  <w:style w:type="character" w:styleId="WW8Num68z1">
    <w:name w:val="WW8Num68z1"/>
    <w:qFormat/>
    <w:rPr>
      <w:rFonts w:ascii="Courier New" w:hAnsi="Courier New" w:cs="Courier New"/>
      <w:sz w:val="20"/>
    </w:rPr>
  </w:style>
  <w:style w:type="character" w:styleId="WW8Num68z2">
    <w:name w:val="WW8Num68z2"/>
    <w:qFormat/>
    <w:rPr>
      <w:rFonts w:ascii="Wingdings" w:hAnsi="Wingdings" w:cs="Wingdings"/>
      <w:sz w:val="20"/>
    </w:rPr>
  </w:style>
  <w:style w:type="character" w:styleId="WW8Num69z0">
    <w:name w:val="WW8Num69z0"/>
    <w:qFormat/>
    <w:rPr>
      <w:rFonts w:ascii="Wingdings" w:hAnsi="Wingdings" w:cs="Wingdings"/>
    </w:rPr>
  </w:style>
  <w:style w:type="character" w:styleId="WW8Num69z1">
    <w:name w:val="WW8Num69z1"/>
    <w:qFormat/>
    <w:rPr>
      <w:rFonts w:ascii="Courier New" w:hAnsi="Courier New" w:cs="Courier New"/>
    </w:rPr>
  </w:style>
  <w:style w:type="character" w:styleId="WW8Num69z3">
    <w:name w:val="WW8Num69z3"/>
    <w:qFormat/>
    <w:rPr>
      <w:rFonts w:ascii="Symbol" w:hAnsi="Symbol" w:cs="Symbol"/>
    </w:rPr>
  </w:style>
  <w:style w:type="character" w:styleId="WW8Num70z0">
    <w:name w:val="WW8Num70z0"/>
    <w:qFormat/>
    <w:rPr>
      <w:rFonts w:ascii="Wingdings" w:hAnsi="Wingdings" w:cs="Wingdings"/>
    </w:rPr>
  </w:style>
  <w:style w:type="character" w:styleId="WW8Num70z1">
    <w:name w:val="WW8Num70z1"/>
    <w:qFormat/>
    <w:rPr>
      <w:rFonts w:ascii="Courier New" w:hAnsi="Courier New" w:cs="Courier New"/>
    </w:rPr>
  </w:style>
  <w:style w:type="character" w:styleId="WW8Num70z3">
    <w:name w:val="WW8Num70z3"/>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sz w:val="20"/>
    </w:rPr>
  </w:style>
  <w:style w:type="character" w:styleId="WW8Num72z1">
    <w:name w:val="WW8Num72z1"/>
    <w:qFormat/>
    <w:rPr>
      <w:rFonts w:ascii="Courier New" w:hAnsi="Courier New" w:cs="Courier New"/>
      <w:sz w:val="20"/>
    </w:rPr>
  </w:style>
  <w:style w:type="character" w:styleId="WW8Num72z2">
    <w:name w:val="WW8Num72z2"/>
    <w:qFormat/>
    <w:rPr>
      <w:rFonts w:ascii="Wingdings" w:hAnsi="Wingdings" w:cs="Wingdings"/>
      <w:sz w:val="20"/>
    </w:rPr>
  </w:style>
  <w:style w:type="character" w:styleId="WW8Num73z0">
    <w:name w:val="WW8Num73z0"/>
    <w:qFormat/>
    <w:rPr>
      <w:rFonts w:ascii="Symbol" w:hAnsi="Symbol" w:cs="Symbol"/>
      <w:sz w:val="20"/>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5z0">
    <w:name w:val="WW8Num75z0"/>
    <w:qFormat/>
    <w:rPr>
      <w:rFonts w:ascii="Wingdings" w:hAnsi="Wingdings" w:cs="Wingdings"/>
      <w:sz w:val="16"/>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rFonts w:ascii="Wingdings" w:hAnsi="Wingdings" w:cs="Wingdings"/>
      <w:sz w:val="16"/>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mainsubheader">
    <w:name w:val="mainsubheader"/>
    <w:basedOn w:val="DefaultParagraphFont"/>
    <w:qFormat/>
    <w:rPr/>
  </w:style>
  <w:style w:type="character" w:styleId="Strong">
    <w:name w:val="Strong"/>
    <w:basedOn w:val="DefaultParagraphFont"/>
    <w:qFormat/>
    <w:rPr>
      <w:b/>
      <w:bCs/>
    </w:rPr>
  </w:style>
  <w:style w:type="character" w:styleId="data">
    <w:name w:val="data"/>
    <w:basedOn w:val="DefaultParagraphFont"/>
    <w:qFormat/>
    <w:rPr/>
  </w:style>
  <w:style w:type="character" w:styleId="neg">
    <w:name w:val="neg"/>
    <w:basedOn w:val="DefaultParagraphFont"/>
    <w:qFormat/>
    <w:rPr/>
  </w:style>
  <w:style w:type="character" w:styleId="pos">
    <w:name w:val="pos"/>
    <w:basedOn w:val="DefaultParagraphFont"/>
    <w:qFormat/>
    <w:rPr/>
  </w:style>
  <w:style w:type="character" w:styleId="smhead1">
    <w:name w:val="smhead1"/>
    <w:basedOn w:val="DefaultParagraphFont"/>
    <w:qFormat/>
    <w:rPr>
      <w:rFonts w:ascii="Arial" w:hAnsi="Arial" w:cs="Arial"/>
      <w:b/>
      <w:bCs/>
      <w:color w:val="333399"/>
      <w:sz w:val="29"/>
      <w:szCs w:val="29"/>
    </w:rPr>
  </w:style>
  <w:style w:type="character" w:styleId="mainsubheader1">
    <w:name w:val="mainsubheader1"/>
    <w:basedOn w:val="DefaultParagraphFont"/>
    <w:qFormat/>
    <w:rPr>
      <w:rFonts w:ascii="Verdana" w:hAnsi="Verdana" w:cs="Verdana"/>
      <w:b/>
      <w:bCs/>
      <w:strike w:val="false"/>
      <w:dstrike w:val="false"/>
      <w:color w:val="000000"/>
      <w:sz w:val="23"/>
      <w:szCs w:val="23"/>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b/>
      <w:i/>
      <w:sz w:val="72"/>
    </w:rPr>
  </w:style>
  <w:style w:type="paragraph" w:styleId="List">
    <w:name w:val="List"/>
    <w:basedOn w:val="BodyText"/>
    <w:pPr/>
    <w:rPr>
      <w:rFonts w:cs="NotoSans NF"/>
    </w:rPr>
  </w:style>
  <w:style w:type="paragraph" w:styleId="Caption">
    <w:name w:val="caption"/>
    <w:basedOn w:val="Normal"/>
    <w:next w:val="Normal"/>
    <w:qFormat/>
    <w:pPr/>
    <w:rPr>
      <w:b/>
      <w:bCs/>
      <w:sz w:val="22"/>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jc w:val="both"/>
    </w:pPr>
    <w:rPr>
      <w:rFonts w:ascii="Tahoma" w:hAnsi="Tahoma" w:cs="Tahoma"/>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i/>
      <w:iCs/>
    </w:rPr>
  </w:style>
  <w:style w:type="paragraph" w:styleId="NormalWeb">
    <w:name w:val="Normal (Web)"/>
    <w:basedOn w:val="Normal"/>
    <w:qFormat/>
    <w:pPr>
      <w:spacing w:before="100" w:after="100"/>
    </w:pPr>
    <w:rPr>
      <w:rFonts w:ascii="Arial Unicode MS" w:hAnsi="Arial Unicode MS" w:eastAsia="Arial Unicode MS" w:cs="Arial Unicode MS"/>
      <w:color w:val="000000"/>
      <w:sz w:val="24"/>
    </w:rPr>
  </w:style>
  <w:style w:type="paragraph" w:styleId="BodyTextIndent">
    <w:name w:val="Body Text Indent"/>
    <w:basedOn w:val="Normal"/>
    <w:pPr>
      <w:ind w:hanging="0" w:start="-180" w:end="0"/>
      <w:jc w:val="center"/>
    </w:pPr>
    <w:rPr>
      <w:b/>
      <w:bCs/>
      <w:i/>
      <w:iCs/>
    </w:rPr>
  </w:style>
  <w:style w:type="paragraph" w:styleId="BodyTextIndent2">
    <w:name w:val="Body Text Indent 2"/>
    <w:basedOn w:val="Normal"/>
    <w:qFormat/>
    <w:pPr>
      <w:ind w:hanging="0" w:start="720" w:end="0"/>
    </w:pPr>
    <w:rPr>
      <w:rFonts w:eastAsia="Arial Unicode MS"/>
      <w:color w:val="000000"/>
      <w:sz w:val="16"/>
    </w:rPr>
  </w:style>
  <w:style w:type="paragraph" w:styleId="BodyTextIndent3">
    <w:name w:val="Body Text Indent 3"/>
    <w:basedOn w:val="Normal"/>
    <w:qFormat/>
    <w:pPr>
      <w:ind w:firstLine="60" w:start="720" w:end="0"/>
      <w:jc w:val="both"/>
    </w:pPr>
    <w:rPr>
      <w:rFonts w:eastAsia="Arial Unicode MS"/>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Cs w:val="20"/>
    </w:rPr>
  </w:style>
  <w:style w:type="paragraph" w:styleId="BlockText">
    <w:name w:val="Block Text"/>
    <w:basedOn w:val="Normal"/>
    <w:qFormat/>
    <w:pPr>
      <w:ind w:hanging="0" w:start="-360" w:end="-18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hyperlink" Target="http://www.benefitnews.com/health/detail.cfm?id=1773" TargetMode="External"/><Relationship Id="rId7" Type="http://schemas.openxmlformats.org/officeDocument/2006/relationships/hyperlink" Target="http://www.benefitnews.com/health/detail.cfm?id=1841" TargetMode="External"/><Relationship Id="rId8" Type="http://schemas.openxmlformats.org/officeDocument/2006/relationships/hyperlink" Target="http://www.usatoday.com/usatonline/20010910/3614986s.htm" TargetMode="External"/><Relationship Id="rId9" Type="http://schemas.openxmlformats.org/officeDocument/2006/relationships/hyperlink" Target="http://www.benefitnews.com/subscriber/Article.cfm?id=8757" TargetMode="External"/><Relationship Id="rId10" Type="http://schemas.openxmlformats.org/officeDocument/2006/relationships/hyperlink" Target="http://www.cfo.com/article/1,4616,0%7C83%7CAD%7C4368,00.html" TargetMode="External"/><Relationship Id="rId11" Type="http://schemas.openxmlformats.org/officeDocument/2006/relationships/hyperlink" Target="http://was.hewitt.com/hewitt/resource/09-11-01/articles/compliance.htm" TargetMode="External"/><Relationship Id="rId12" Type="http://schemas.openxmlformats.org/officeDocument/2006/relationships/hyperlink" Target="http://www.aon.com/about/publications/pdf/alert/al010919.pdf" TargetMode="External"/><Relationship Id="rId13" Type="http://schemas.openxmlformats.org/officeDocument/2006/relationships/hyperlink" Target="http://my.shrm.org/hrnews/articles/militaryreservists.pdf" TargetMode="External"/><Relationship Id="rId14" Type="http://schemas.openxmlformats.org/officeDocument/2006/relationships/hyperlink" Target="http://was.hewitt.com/hewitt/resource/09-11-01/articles/helpful_links.htm" TargetMode="External"/><Relationship Id="rId15" Type="http://schemas.openxmlformats.org/officeDocument/2006/relationships/hyperlink" Target="http://www.shrm.org/hrnews/articles/default.asp?page=091901a.htm" TargetMode="External"/><Relationship Id="rId16" Type="http://schemas.openxmlformats.org/officeDocument/2006/relationships/hyperlink" Target="http://www.benefitnews.com/detail.cfm?id=1771"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2001-09-25T13:00:00Z</dcterms:created>
  <dc:creator>Norman Levine</dc:creator>
  <dc:description/>
  <dc:language>en-CA</dc:language>
  <cp:lastModifiedBy>Norman Levine</cp:lastModifiedBy>
  <cp:lastPrinted>2001-09-14T15:24:00Z</cp:lastPrinted>
  <dcterms:modified xsi:type="dcterms:W3CDTF">2001-09-26T18:14:00Z</dcterms:modified>
  <cp:revision>34</cp:revision>
  <dc:subject/>
  <dc:title/>
</cp:coreProperties>
</file>