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media/image2.png" ContentType="image/png"/>
  <Override PartName="/word/media/image3.png" ContentType="image/png"/>
  <Override PartName="/word/media/image4.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object w:dxaOrig="8638" w:dyaOrig="10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23.5pt;width:477pt;height:65.4pt;mso-wrap-distance-left:9.05pt;mso-wrap-distance-right:9.05pt;mso-position-horizontal-relative:text;mso-position-vertical-relative:text" filled="f" o:ole="">
            <v:imagedata r:id="rId3" o:title=""/>
            <w10:wrap type="topAndBottom"/>
          </v:shape>
          <o:OLEObject Type="Embed" ProgID="" ShapeID="ole_rId2" DrawAspect="Content" ObjectID="_1407230162" r:id="rId2"/>
        </w:object>
      </w:r>
      <w:r>
        <mc:AlternateContent>
          <mc:Choice Requires="wps">
            <w:drawing>
              <wp:anchor behindDoc="0" distT="0" distB="0" distL="114935" distR="114935" simplePos="0" locked="0" layoutInCell="1" allowOverlap="1" relativeHeight="5">
                <wp:simplePos x="0" y="0"/>
                <wp:positionH relativeFrom="column">
                  <wp:posOffset>800100</wp:posOffset>
                </wp:positionH>
                <wp:positionV relativeFrom="paragraph">
                  <wp:posOffset>298450</wp:posOffset>
                </wp:positionV>
                <wp:extent cx="5143500" cy="571500"/>
                <wp:effectExtent l="0" t="0" r="0" b="0"/>
                <wp:wrapNone/>
                <wp:docPr id="1" name="Frame1"/>
                <a:graphic xmlns:a="http://schemas.openxmlformats.org/drawingml/2006/main">
                  <a:graphicData uri="http://schemas.microsoft.com/office/word/2010/wordprocessingShape">
                    <wps:wsp>
                      <wps:cNvSpPr txBox="1"/>
                      <wps:spPr>
                        <a:xfrm>
                          <a:off x="0" y="0"/>
                          <a:ext cx="5143500" cy="571500"/>
                        </a:xfrm>
                        <a:prstGeom prst="rect"/>
                        <a:solidFill>
                          <a:srgbClr val="FFFFFF"/>
                        </a:solidFill>
                      </wps:spPr>
                      <wps:txbx>
                        <w:txbxContent>
                          <w:p>
                            <w:pPr>
                              <w:pStyle w:val="BodyText"/>
                              <w:jc w:val="center"/>
                              <w:rPr/>
                            </w:pPr>
                            <w:r>
                              <w:rPr>
                                <w:sz w:val="64"/>
                              </w:rPr>
                              <w:t>Enron HR</w:t>
                            </w:r>
                            <w:r>
                              <w:rPr/>
                              <w:t xml:space="preserve"> Newsletter</w:t>
                            </w:r>
                          </w:p>
                        </w:txbxContent>
                      </wps:txbx>
                      <wps:bodyPr anchor="t" lIns="92075" tIns="46355" rIns="92075" bIns="46355">
                        <a:noAutofit/>
                      </wps:bodyPr>
                    </wps:wsp>
                  </a:graphicData>
                </a:graphic>
              </wp:anchor>
            </w:drawing>
          </mc:Choice>
          <mc:Fallback>
            <w:pict>
              <v:rect fillcolor="#FFFFFF" style="position:absolute;rotation:-0;width:405pt;height:45pt;mso-wrap-distance-left:9.05pt;mso-wrap-distance-right:9.05pt;mso-wrap-distance-top:0pt;mso-wrap-distance-bottom:0pt;margin-top:23.5pt;mso-position-vertical-relative:text;margin-left:63pt;mso-position-horizontal-relative:text">
                <v:textbox inset="0.100694444444444in,0.0506944444444444in,0.100694444444444in,0.0506944444444444in">
                  <w:txbxContent>
                    <w:p>
                      <w:pPr>
                        <w:pStyle w:val="BodyText"/>
                        <w:jc w:val="center"/>
                        <w:rPr/>
                      </w:pPr>
                      <w:r>
                        <w:rPr>
                          <w:sz w:val="64"/>
                        </w:rPr>
                        <w:t>Enron HR</w:t>
                      </w:r>
                      <w:r>
                        <w:rPr/>
                        <w:t xml:space="preserve"> Newsletter</w:t>
                      </w:r>
                    </w:p>
                  </w:txbxContent>
                </v:textbox>
                <w10:wrap type="none"/>
              </v:rect>
            </w:pict>
          </mc:Fallback>
        </mc:AlternateContent>
      </w:r>
    </w:p>
    <w:p>
      <w:pPr>
        <w:pStyle w:val="Normal"/>
        <w:rPr/>
      </w:pPr>
      <w:r>
        <w:rPr/>
      </w:r>
    </w:p>
    <w:p>
      <w:pPr>
        <w:pStyle w:val="Normal"/>
        <w:rPr/>
      </w:pPr>
      <w:r>
        <w:rPr/>
      </w:r>
    </w:p>
    <w:p>
      <w:pPr>
        <w:pStyle w:val="Normal"/>
        <w:rPr/>
      </w:pPr>
      <w:r>
        <w:rPr/>
      </w:r>
    </w:p>
    <w:p>
      <w:pPr>
        <w:pStyle w:val="Heading2"/>
        <w:ind w:hanging="0" w:start="0"/>
        <w:rPr>
          <w:i/>
          <w:i/>
          <w:iCs/>
          <w:sz w:val="40"/>
        </w:rPr>
      </w:pPr>
      <w:r>
        <w:rPr>
          <w:i/>
          <w:iCs/>
          <w:sz w:val="40"/>
        </w:rPr>
      </w:r>
    </w:p>
    <w:p>
      <w:pPr>
        <w:pStyle w:val="Heading1"/>
        <w:ind w:hanging="0" w:start="0"/>
        <w:rPr>
          <w:b/>
          <w:bCs/>
          <w:i/>
          <w:i/>
          <w:iCs/>
          <w:sz w:val="14"/>
        </w:rPr>
      </w:pPr>
      <w:r>
        <w:rPr>
          <w:b/>
          <w:bCs/>
          <w:i/>
          <w:iCs/>
          <w:sz w:val="14"/>
        </w:rPr>
      </w:r>
    </w:p>
    <w:p>
      <w:pPr>
        <w:pStyle w:val="Heading1"/>
        <w:ind w:hanging="0" w:start="0"/>
        <w:rPr>
          <w:b/>
          <w:bCs/>
          <w:sz w:val="48"/>
        </w:rPr>
      </w:pPr>
      <w:r>
        <w:rPr>
          <w:b/>
          <w:bCs/>
          <w:sz w:val="48"/>
        </w:rPr>
        <w:t>September 7, 2001</w:t>
      </w:r>
    </w:p>
    <w:p>
      <w:pPr>
        <w:pStyle w:val="Normal"/>
        <w:rPr>
          <w:b/>
          <w:bCs/>
          <w:sz w:val="48"/>
        </w:rPr>
      </w:pPr>
      <w:r>
        <w:rPr>
          <w:b/>
          <w:bCs/>
          <w:sz w:val="48"/>
        </w:rPr>
      </w:r>
    </w:p>
    <w:p>
      <w:pPr>
        <w:pStyle w:val="Normal"/>
        <w:rPr/>
      </w:pPr>
      <w:r>
        <w:rPr/>
      </w:r>
    </w:p>
    <w:p>
      <w:pPr>
        <w:pStyle w:val="Normal"/>
        <w:rPr/>
      </w:pPr>
      <w:r>
        <w:rPr/>
      </w:r>
    </w:p>
    <w:p>
      <w:pPr>
        <w:pStyle w:val="Normal"/>
        <w:rPr>
          <w:lang w:val="en-CA" w:eastAsia="en-CA"/>
        </w:rPr>
      </w:pPr>
      <w:r>
        <w:rPr>
          <w:lang w:val="en-CA" w:eastAsia="en-CA"/>
        </w:rPr>
        <w:object w:dxaOrig="13228" w:dyaOrig="638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08pt;margin-top:16.6pt;width:259.2pt;height:125.2pt;mso-wrap-distance-left:9.05pt;mso-wrap-distance-right:9.05pt;mso-position-horizontal-relative:text;mso-position-vertical-relative:text" filled="f" o:ole="">
            <v:imagedata r:id="rId5" o:title=""/>
            <w10:wrap type="topAndBottom"/>
          </v:shape>
          <o:OLEObject Type="Embed" ProgID="" ShapeID="ole_rId4" DrawAspect="Content" ObjectID="_126943558" r:id="rId4"/>
        </w:obje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5"/>
        <w:ind w:hanging="0" w:start="0"/>
        <w:rPr>
          <w:sz w:val="18"/>
        </w:rPr>
      </w:pPr>
      <w:r>
        <w:rPr>
          <w:sz w:val="18"/>
        </w:rPr>
      </w:r>
    </w:p>
    <w:p>
      <w:pPr>
        <w:pStyle w:val="Heading5"/>
        <w:ind w:hanging="0" w:start="0"/>
        <w:rPr/>
      </w:pPr>
      <w:r>
        <w:rPr>
          <w:shadow/>
        </w:rPr>
        <w:t>E</w:t>
      </w:r>
      <w:r>
        <w:rPr>
          <w:shadow/>
          <w:sz w:val="24"/>
        </w:rPr>
        <w:t>nron in the News</w:t>
      </w:r>
    </w:p>
    <w:p>
      <w:pPr>
        <w:pStyle w:val="Normal"/>
        <w:rPr>
          <w:shadow/>
          <w:sz w:val="24"/>
        </w:rPr>
      </w:pPr>
      <w:r>
        <w:rPr>
          <w:shadow/>
          <w:sz w:val="24"/>
        </w:rPr>
      </w:r>
    </w:p>
    <w:p>
      <w:pPr>
        <w:pStyle w:val="Normal"/>
        <w:jc w:val="both"/>
        <w:rPr/>
      </w:pPr>
      <w:r>
        <w:rPr/>
        <w:object w:dxaOrig="795" w:dyaOrig="51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9.75pt;height:25.5pt;mso-wrap-distance-left:1pt;mso-wrap-distance-right:0pt;mso-wrap-distance-top:1pt" stroked="t" strokecolor="#0000FF" strokeweight="1pt" filled="f" o:ole="">
            <v:stroke linestyle="Single" dashstyle="Solid"/>
            <v:imagedata r:id="rId7" o:title=""/>
          </v:shape>
          <o:OLEObject Type="Embed" ProgID="" ShapeID="ole_rId6" DrawAspect="Content" ObjectID="_86573378" r:id="rId6"/>
        </w:object>
      </w:r>
    </w:p>
    <w:p>
      <w:pPr>
        <w:pStyle w:val="Normal"/>
        <w:jc w:val="both"/>
        <w:rPr>
          <w:sz w:val="4"/>
        </w:rPr>
      </w:pPr>
      <w:r>
        <w:rPr>
          <w:sz w:val="4"/>
        </w:rPr>
      </w:r>
    </w:p>
    <w:p>
      <w:pPr>
        <w:pStyle w:val="Normal"/>
        <w:jc w:val="both"/>
        <w:rPr/>
      </w:pPr>
      <w:r>
        <w:rPr/>
        <w:t>8/30/2001</w:t>
      </w:r>
    </w:p>
    <w:p>
      <w:pPr>
        <w:pStyle w:val="Normal"/>
        <w:jc w:val="both"/>
        <w:rPr>
          <w:b/>
          <w:bCs/>
          <w:sz w:val="10"/>
          <w:u w:val="single"/>
        </w:rPr>
      </w:pPr>
      <w:r>
        <w:rPr>
          <w:b/>
          <w:bCs/>
          <w:sz w:val="10"/>
          <w:u w:val="single"/>
        </w:rPr>
      </w:r>
    </w:p>
    <w:p>
      <w:pPr>
        <w:pStyle w:val="Heading4"/>
        <w:ind w:hanging="0" w:start="0"/>
        <w:rPr>
          <w:shadow/>
        </w:rPr>
      </w:pPr>
      <w:r>
        <w:rPr>
          <w:shadow/>
        </w:rPr>
        <w:t>Total Factor Productivity</w:t>
      </w:r>
    </w:p>
    <w:p>
      <w:pPr>
        <w:pStyle w:val="BodyText2"/>
        <w:autoSpaceDE w:val="true"/>
        <w:rPr/>
      </w:pPr>
      <w:r>
        <w:rPr/>
        <w:t xml:space="preserve">Professors at the Massachusetts Institute of Technology Sloan School of Management and leading business schools in Israel and Germany have identified the large companies that boosted productivity the most from 1996-2000. It shows for the first time which Fortune 100 companies saw the best year-to-year gains per worker. </w:t>
      </w:r>
    </w:p>
    <w:p>
      <w:pPr>
        <w:pStyle w:val="BodyText2"/>
        <w:autoSpaceDE w:val="true"/>
        <w:rPr>
          <w:sz w:val="10"/>
        </w:rPr>
      </w:pPr>
      <w:r>
        <w:rPr>
          <w:sz w:val="10"/>
        </w:rPr>
      </w:r>
    </w:p>
    <w:p>
      <w:pPr>
        <w:pStyle w:val="Heading7"/>
        <w:ind w:hanging="0" w:start="0"/>
        <w:jc w:val="both"/>
        <w:rPr>
          <w:b w:val="false"/>
          <w:bCs w:val="false"/>
        </w:rPr>
      </w:pPr>
      <w:r>
        <w:rPr>
          <w:b w:val="false"/>
          <w:bCs w:val="false"/>
        </w:rPr>
        <w:t>Total Factor Productivity is the gain in labor productivity, less productivity gains from investing in capital.  TFP is calculated as follows:</w:t>
      </w:r>
    </w:p>
    <w:p>
      <w:pPr>
        <w:pStyle w:val="Normal"/>
        <w:jc w:val="both"/>
        <w:rPr>
          <w:b/>
          <w:bCs/>
          <w:sz w:val="10"/>
        </w:rPr>
      </w:pPr>
      <w:r>
        <w:rPr>
          <w:b/>
          <w:bCs/>
          <w:sz w:val="10"/>
        </w:rPr>
      </w:r>
    </w:p>
    <w:p>
      <w:pPr>
        <w:pStyle w:val="BodyText3"/>
        <w:jc w:val="center"/>
        <w:rPr/>
      </w:pPr>
      <w:r>
        <w:rPr>
          <w:i w:val="false"/>
          <w:iCs w:val="false"/>
        </w:rPr>
        <w:t xml:space="preserve">change in revenue per employee </w:t>
      </w:r>
      <w:r>
        <w:rPr>
          <w:b/>
          <w:bCs/>
          <w:i w:val="false"/>
          <w:iCs w:val="false"/>
        </w:rPr>
        <w:t>-</w:t>
      </w:r>
      <w:r>
        <w:rPr>
          <w:i w:val="false"/>
          <w:iCs w:val="false"/>
        </w:rPr>
        <w:t xml:space="preserve"> (effect of investment on productivity </w:t>
      </w:r>
      <w:r>
        <w:rPr>
          <w:b/>
          <w:bCs/>
          <w:i w:val="false"/>
          <w:iCs w:val="false"/>
        </w:rPr>
        <w:t>x</w:t>
      </w:r>
      <w:r>
        <w:rPr>
          <w:i w:val="false"/>
          <w:iCs w:val="false"/>
        </w:rPr>
        <w:t xml:space="preserve"> change in assets per employee)</w:t>
      </w:r>
    </w:p>
    <w:p>
      <w:pPr>
        <w:pStyle w:val="Normal"/>
        <w:jc w:val="both"/>
        <w:rPr>
          <w:i/>
          <w:i/>
          <w:iCs/>
        </w:rPr>
      </w:pPr>
      <w:r>
        <w:rPr>
          <w:i/>
          <w:iCs/>
        </w:rPr>
      </w:r>
    </w:p>
    <w:p>
      <w:pPr>
        <w:pStyle w:val="BodyText2"/>
        <w:autoSpaceDE w:val="true"/>
        <w:rPr/>
      </w:pPr>
      <w:r>
        <w:rPr/>
        <w:t>TFP can come from a number of reasons including higher efficiency, cost cutting, increased market share, a hot new product or a key executive decision.  Firms can produce more in one of three ways: hire more workers; increase capital (such as building a new plant); or get more from the workers and capital they have (or get the same from fewer workers and less capital).</w:t>
      </w:r>
    </w:p>
    <w:p>
      <w:pPr>
        <w:pStyle w:val="Normal"/>
        <w:rPr>
          <w:sz w:val="10"/>
        </w:rPr>
      </w:pPr>
      <w:r>
        <w:rPr>
          <w:sz w:val="10"/>
        </w:rPr>
      </w:r>
    </w:p>
    <w:p>
      <w:pPr>
        <w:pStyle w:val="inside-head"/>
        <w:ind w:start="1440" w:end="0"/>
        <w:rPr/>
      </w:pPr>
      <w:r>
        <w:rPr>
          <w:rFonts w:eastAsia="Tahoma" w:cs="Tahoma" w:ascii="Tahoma" w:hAnsi="Tahoma"/>
          <w:sz w:val="22"/>
        </w:rPr>
        <w:t xml:space="preserve">                                   </w:t>
      </w:r>
      <w:r>
        <w:rPr/>
        <w:t>How 'Fortune' 100 firms rank</w:t>
      </w:r>
    </w:p>
    <w:tbl>
      <w:tblPr>
        <w:tblW w:w="7454" w:type="dxa"/>
        <w:jc w:val="start"/>
        <w:tblInd w:w="1411" w:type="dxa"/>
        <w:tblLayout w:type="fixed"/>
        <w:tblCellMar>
          <w:top w:w="45" w:type="dxa"/>
          <w:start w:w="45" w:type="dxa"/>
          <w:bottom w:w="45" w:type="dxa"/>
          <w:end w:w="45" w:type="dxa"/>
        </w:tblCellMar>
      </w:tblPr>
      <w:tblGrid>
        <w:gridCol w:w="2862"/>
        <w:gridCol w:w="3332"/>
        <w:gridCol w:w="1260"/>
      </w:tblGrid>
      <w:tr>
        <w:trPr/>
        <w:tc>
          <w:tcPr>
            <w:tcW w:w="7454" w:type="dxa"/>
            <w:gridSpan w:val="3"/>
            <w:tcBorders/>
            <w:shd w:fill="99CC99" w:val="clear"/>
            <w:vAlign w:val="center"/>
          </w:tcPr>
          <w:p>
            <w:pPr>
              <w:pStyle w:val="Normal"/>
              <w:jc w:val="center"/>
              <w:rPr/>
            </w:pPr>
            <w:r>
              <w:rPr>
                <w:b/>
                <w:bCs/>
                <w:sz w:val="18"/>
                <w:szCs w:val="17"/>
              </w:rPr>
              <w:t>Average total factor productivity (TFP) gains among</w:t>
            </w:r>
            <w:r>
              <w:rPr>
                <w:b/>
                <w:bCs/>
                <w:i/>
                <w:iCs/>
                <w:sz w:val="18"/>
                <w:szCs w:val="17"/>
              </w:rPr>
              <w:t xml:space="preserve"> Fortune</w:t>
            </w:r>
            <w:r>
              <w:rPr>
                <w:b/>
                <w:bCs/>
                <w:sz w:val="18"/>
                <w:szCs w:val="17"/>
              </w:rPr>
              <w:t xml:space="preserve"> 100 companies</w:t>
            </w:r>
          </w:p>
          <w:p>
            <w:pPr>
              <w:pStyle w:val="Normal"/>
              <w:jc w:val="center"/>
              <w:rPr>
                <w:b/>
                <w:bCs/>
                <w:sz w:val="4"/>
                <w:szCs w:val="17"/>
              </w:rPr>
            </w:pPr>
            <w:r>
              <w:rPr>
                <w:b/>
                <w:bCs/>
                <w:sz w:val="4"/>
                <w:szCs w:val="17"/>
              </w:rPr>
            </w:r>
          </w:p>
          <w:p>
            <w:pPr>
              <w:pStyle w:val="Normal"/>
              <w:jc w:val="center"/>
              <w:rPr>
                <w:rFonts w:eastAsia="Arial Unicode MS"/>
                <w:b/>
                <w:bCs/>
                <w:sz w:val="18"/>
                <w:szCs w:val="17"/>
              </w:rPr>
            </w:pPr>
            <w:r>
              <w:rPr>
                <w:b/>
                <w:bCs/>
                <w:sz w:val="18"/>
                <w:szCs w:val="17"/>
              </w:rPr>
              <w:t>1996-2000</w:t>
            </w:r>
          </w:p>
        </w:tc>
      </w:tr>
      <w:tr>
        <w:trPr/>
        <w:tc>
          <w:tcPr>
            <w:tcW w:w="2862" w:type="dxa"/>
            <w:tcBorders/>
            <w:shd w:fill="99CC99" w:val="clear"/>
            <w:vAlign w:val="bottom"/>
          </w:tcPr>
          <w:p>
            <w:pPr>
              <w:pStyle w:val="Normal"/>
              <w:jc w:val="center"/>
              <w:rPr>
                <w:rFonts w:eastAsia="Arial Unicode MS"/>
                <w:sz w:val="16"/>
                <w:szCs w:val="17"/>
              </w:rPr>
            </w:pPr>
            <w:r>
              <w:rPr>
                <w:b/>
                <w:bCs/>
                <w:sz w:val="16"/>
                <w:szCs w:val="17"/>
              </w:rPr>
              <w:t>Company</w:t>
            </w:r>
          </w:p>
        </w:tc>
        <w:tc>
          <w:tcPr>
            <w:tcW w:w="3332" w:type="dxa"/>
            <w:tcBorders/>
            <w:shd w:fill="99CC99" w:val="clear"/>
            <w:vAlign w:val="bottom"/>
          </w:tcPr>
          <w:p>
            <w:pPr>
              <w:pStyle w:val="Normal"/>
              <w:jc w:val="center"/>
              <w:rPr>
                <w:rFonts w:eastAsia="Arial Unicode MS"/>
                <w:sz w:val="16"/>
                <w:szCs w:val="17"/>
              </w:rPr>
            </w:pPr>
            <w:r>
              <w:rPr>
                <w:b/>
                <w:bCs/>
                <w:sz w:val="16"/>
                <w:szCs w:val="17"/>
              </w:rPr>
              <w:t>Industry</w:t>
            </w:r>
          </w:p>
        </w:tc>
        <w:tc>
          <w:tcPr>
            <w:tcW w:w="1260" w:type="dxa"/>
            <w:tcBorders/>
            <w:shd w:fill="99CC99" w:val="clear"/>
            <w:vAlign w:val="bottom"/>
          </w:tcPr>
          <w:p>
            <w:pPr>
              <w:pStyle w:val="Normal"/>
              <w:jc w:val="center"/>
              <w:rPr>
                <w:rFonts w:eastAsia="Arial Unicode MS"/>
                <w:sz w:val="16"/>
                <w:szCs w:val="17"/>
              </w:rPr>
            </w:pPr>
            <w:r>
              <w:rPr>
                <w:b/>
                <w:bCs/>
                <w:sz w:val="16"/>
                <w:szCs w:val="17"/>
              </w:rPr>
              <w:t>Average annual TFP</w:t>
            </w:r>
          </w:p>
        </w:tc>
      </w:tr>
      <w:tr>
        <w:trPr/>
        <w:tc>
          <w:tcPr>
            <w:tcW w:w="2862" w:type="dxa"/>
            <w:tcBorders/>
            <w:shd w:fill="CCFFCC" w:val="clear"/>
            <w:vAlign w:val="center"/>
          </w:tcPr>
          <w:p>
            <w:pPr>
              <w:pStyle w:val="Normal"/>
              <w:rPr>
                <w:rFonts w:eastAsia="Arial Unicode MS"/>
                <w:sz w:val="16"/>
                <w:szCs w:val="17"/>
              </w:rPr>
            </w:pPr>
            <w:r>
              <w:rPr>
                <w:sz w:val="16"/>
                <w:szCs w:val="17"/>
              </w:rPr>
              <w:t>AutoNation</w:t>
            </w:r>
          </w:p>
        </w:tc>
        <w:tc>
          <w:tcPr>
            <w:tcW w:w="3332" w:type="dxa"/>
            <w:tcBorders/>
            <w:shd w:fill="CCFFCC" w:val="clear"/>
            <w:vAlign w:val="center"/>
          </w:tcPr>
          <w:p>
            <w:pPr>
              <w:pStyle w:val="Normal"/>
              <w:rPr>
                <w:rFonts w:eastAsia="Arial Unicode MS"/>
                <w:sz w:val="16"/>
                <w:szCs w:val="17"/>
              </w:rPr>
            </w:pPr>
            <w:r>
              <w:rPr>
                <w:sz w:val="16"/>
                <w:szCs w:val="17"/>
              </w:rPr>
              <w:t>Automotive retailing, services</w:t>
            </w:r>
          </w:p>
        </w:tc>
        <w:tc>
          <w:tcPr>
            <w:tcW w:w="1260" w:type="dxa"/>
            <w:tcBorders/>
            <w:shd w:fill="CCFFCC" w:val="clear"/>
            <w:vAlign w:val="center"/>
          </w:tcPr>
          <w:p>
            <w:pPr>
              <w:pStyle w:val="Normal"/>
              <w:jc w:val="center"/>
              <w:rPr>
                <w:rFonts w:eastAsia="Arial Unicode MS"/>
                <w:sz w:val="16"/>
                <w:szCs w:val="17"/>
              </w:rPr>
            </w:pPr>
            <w:r>
              <w:rPr>
                <w:sz w:val="16"/>
                <w:szCs w:val="17"/>
              </w:rPr>
              <w:t>74.7%</w:t>
            </w:r>
          </w:p>
        </w:tc>
      </w:tr>
      <w:tr>
        <w:trPr/>
        <w:tc>
          <w:tcPr>
            <w:tcW w:w="2862" w:type="dxa"/>
            <w:tcBorders/>
            <w:shd w:fill="FFFFFF" w:val="clear"/>
            <w:vAlign w:val="center"/>
          </w:tcPr>
          <w:p>
            <w:pPr>
              <w:pStyle w:val="Normal"/>
              <w:rPr>
                <w:rFonts w:eastAsia="Arial Unicode MS"/>
                <w:sz w:val="16"/>
                <w:szCs w:val="17"/>
              </w:rPr>
            </w:pPr>
            <w:r>
              <w:rPr>
                <w:sz w:val="16"/>
                <w:szCs w:val="17"/>
              </w:rPr>
              <w:t>Duke Energy</w:t>
            </w:r>
          </w:p>
        </w:tc>
        <w:tc>
          <w:tcPr>
            <w:tcW w:w="3332" w:type="dxa"/>
            <w:tcBorders/>
            <w:shd w:fill="FFFFFF" w:val="clear"/>
            <w:vAlign w:val="center"/>
          </w:tcPr>
          <w:p>
            <w:pPr>
              <w:pStyle w:val="Normal"/>
              <w:rPr>
                <w:rFonts w:eastAsia="Arial Unicode MS"/>
                <w:sz w:val="16"/>
                <w:szCs w:val="17"/>
              </w:rPr>
            </w:pPr>
            <w:r>
              <w:rPr>
                <w:sz w:val="16"/>
                <w:szCs w:val="17"/>
              </w:rPr>
              <w:t>Energy</w:t>
            </w:r>
          </w:p>
        </w:tc>
        <w:tc>
          <w:tcPr>
            <w:tcW w:w="1260" w:type="dxa"/>
            <w:tcBorders/>
            <w:shd w:fill="FFFFFF" w:val="clear"/>
            <w:vAlign w:val="center"/>
          </w:tcPr>
          <w:p>
            <w:pPr>
              <w:pStyle w:val="Normal"/>
              <w:jc w:val="center"/>
              <w:rPr>
                <w:rFonts w:eastAsia="Arial Unicode MS"/>
                <w:sz w:val="16"/>
                <w:szCs w:val="17"/>
              </w:rPr>
            </w:pPr>
            <w:r>
              <w:rPr>
                <w:sz w:val="16"/>
                <w:szCs w:val="17"/>
              </w:rPr>
              <w:t>67.6%</w:t>
            </w:r>
          </w:p>
        </w:tc>
      </w:tr>
      <w:tr>
        <w:trPr/>
        <w:tc>
          <w:tcPr>
            <w:tcW w:w="2862" w:type="dxa"/>
            <w:tcBorders/>
            <w:shd w:fill="CCFFCC" w:val="clear"/>
            <w:vAlign w:val="center"/>
          </w:tcPr>
          <w:p>
            <w:pPr>
              <w:pStyle w:val="Normal"/>
              <w:rPr>
                <w:rFonts w:eastAsia="Arial Unicode MS"/>
                <w:sz w:val="16"/>
                <w:szCs w:val="17"/>
              </w:rPr>
            </w:pPr>
            <w:r>
              <w:rPr>
                <w:sz w:val="16"/>
                <w:szCs w:val="17"/>
              </w:rPr>
              <w:t>El Paso</w:t>
            </w:r>
          </w:p>
        </w:tc>
        <w:tc>
          <w:tcPr>
            <w:tcW w:w="3332" w:type="dxa"/>
            <w:tcBorders/>
            <w:shd w:fill="CCFFCC" w:val="clear"/>
            <w:vAlign w:val="center"/>
          </w:tcPr>
          <w:p>
            <w:pPr>
              <w:pStyle w:val="Normal"/>
              <w:rPr>
                <w:rFonts w:eastAsia="Arial Unicode MS"/>
                <w:sz w:val="16"/>
                <w:szCs w:val="17"/>
              </w:rPr>
            </w:pPr>
            <w:r>
              <w:rPr>
                <w:sz w:val="16"/>
                <w:szCs w:val="17"/>
              </w:rPr>
              <w:t>Pipelines</w:t>
            </w:r>
          </w:p>
        </w:tc>
        <w:tc>
          <w:tcPr>
            <w:tcW w:w="1260" w:type="dxa"/>
            <w:tcBorders/>
            <w:shd w:fill="CCFFCC" w:val="clear"/>
            <w:vAlign w:val="center"/>
          </w:tcPr>
          <w:p>
            <w:pPr>
              <w:pStyle w:val="Normal"/>
              <w:jc w:val="center"/>
              <w:rPr>
                <w:rFonts w:eastAsia="Arial Unicode MS"/>
                <w:sz w:val="16"/>
                <w:szCs w:val="17"/>
              </w:rPr>
            </w:pPr>
            <w:r>
              <w:rPr>
                <w:sz w:val="16"/>
                <w:szCs w:val="17"/>
              </w:rPr>
              <w:t>54.3%</w:t>
            </w:r>
          </w:p>
        </w:tc>
      </w:tr>
      <w:tr>
        <w:trPr/>
        <w:tc>
          <w:tcPr>
            <w:tcW w:w="2862" w:type="dxa"/>
            <w:tcBorders/>
            <w:shd w:fill="FFFFFF" w:val="clear"/>
            <w:vAlign w:val="center"/>
          </w:tcPr>
          <w:p>
            <w:pPr>
              <w:pStyle w:val="Normal"/>
              <w:rPr>
                <w:rFonts w:eastAsia="Arial Unicode MS"/>
                <w:sz w:val="16"/>
                <w:szCs w:val="17"/>
              </w:rPr>
            </w:pPr>
            <w:r>
              <w:rPr>
                <w:sz w:val="16"/>
                <w:szCs w:val="17"/>
              </w:rPr>
              <w:t>Conoco</w:t>
            </w:r>
            <w:r>
              <w:rPr>
                <w:szCs w:val="17"/>
                <w:vertAlign w:val="superscript"/>
              </w:rPr>
              <w:t>1</w:t>
            </w:r>
          </w:p>
        </w:tc>
        <w:tc>
          <w:tcPr>
            <w:tcW w:w="3332" w:type="dxa"/>
            <w:tcBorders/>
            <w:shd w:fill="FFFFFF" w:val="clear"/>
            <w:vAlign w:val="center"/>
          </w:tcPr>
          <w:p>
            <w:pPr>
              <w:pStyle w:val="Normal"/>
              <w:rPr>
                <w:rFonts w:eastAsia="Arial Unicode MS"/>
                <w:sz w:val="16"/>
                <w:szCs w:val="17"/>
              </w:rPr>
            </w:pPr>
            <w:r>
              <w:rPr>
                <w:sz w:val="16"/>
                <w:szCs w:val="17"/>
              </w:rPr>
              <w:t>Petroleum refining</w:t>
            </w:r>
          </w:p>
        </w:tc>
        <w:tc>
          <w:tcPr>
            <w:tcW w:w="1260" w:type="dxa"/>
            <w:tcBorders/>
            <w:shd w:fill="FFFFFF" w:val="clear"/>
            <w:vAlign w:val="center"/>
          </w:tcPr>
          <w:p>
            <w:pPr>
              <w:pStyle w:val="Normal"/>
              <w:jc w:val="center"/>
              <w:rPr>
                <w:rFonts w:eastAsia="Arial Unicode MS"/>
                <w:sz w:val="16"/>
                <w:szCs w:val="17"/>
              </w:rPr>
            </w:pPr>
            <w:r>
              <w:rPr>
                <w:sz w:val="16"/>
                <w:szCs w:val="17"/>
              </w:rPr>
              <w:t>46.2%</w:t>
            </w:r>
          </w:p>
        </w:tc>
      </w:tr>
      <w:tr>
        <w:trPr/>
        <w:tc>
          <w:tcPr>
            <w:tcW w:w="2862" w:type="dxa"/>
            <w:tcBorders/>
            <w:shd w:fill="CCFFCC" w:val="clear"/>
            <w:vAlign w:val="center"/>
          </w:tcPr>
          <w:p>
            <w:pPr>
              <w:pStyle w:val="Normal"/>
              <w:rPr>
                <w:rFonts w:eastAsia="Arial Unicode MS"/>
                <w:sz w:val="16"/>
                <w:szCs w:val="17"/>
              </w:rPr>
            </w:pPr>
            <w:r>
              <w:rPr>
                <w:sz w:val="16"/>
                <w:szCs w:val="17"/>
              </w:rPr>
              <w:t>UtiliCorp United</w:t>
            </w:r>
          </w:p>
        </w:tc>
        <w:tc>
          <w:tcPr>
            <w:tcW w:w="3332" w:type="dxa"/>
            <w:tcBorders/>
            <w:shd w:fill="CCFFCC" w:val="clear"/>
            <w:vAlign w:val="center"/>
          </w:tcPr>
          <w:p>
            <w:pPr>
              <w:pStyle w:val="Normal"/>
              <w:rPr>
                <w:rFonts w:eastAsia="Arial Unicode MS"/>
                <w:sz w:val="16"/>
                <w:szCs w:val="17"/>
              </w:rPr>
            </w:pPr>
            <w:r>
              <w:rPr>
                <w:sz w:val="16"/>
                <w:szCs w:val="17"/>
              </w:rPr>
              <w:t>Energy</w:t>
            </w:r>
          </w:p>
        </w:tc>
        <w:tc>
          <w:tcPr>
            <w:tcW w:w="1260" w:type="dxa"/>
            <w:tcBorders/>
            <w:shd w:fill="CCFFCC" w:val="clear"/>
            <w:vAlign w:val="center"/>
          </w:tcPr>
          <w:p>
            <w:pPr>
              <w:pStyle w:val="Normal"/>
              <w:jc w:val="center"/>
              <w:rPr>
                <w:rFonts w:eastAsia="Arial Unicode MS"/>
                <w:sz w:val="16"/>
                <w:szCs w:val="17"/>
              </w:rPr>
            </w:pPr>
            <w:r>
              <w:rPr>
                <w:sz w:val="16"/>
                <w:szCs w:val="17"/>
              </w:rPr>
              <w:t>42.4%</w:t>
            </w:r>
          </w:p>
        </w:tc>
      </w:tr>
      <w:tr>
        <w:trPr/>
        <w:tc>
          <w:tcPr>
            <w:tcW w:w="2862" w:type="dxa"/>
            <w:tcBorders/>
            <w:shd w:fill="FFFFFF" w:val="clear"/>
            <w:vAlign w:val="center"/>
          </w:tcPr>
          <w:p>
            <w:pPr>
              <w:pStyle w:val="Normal"/>
              <w:rPr>
                <w:rFonts w:eastAsia="Arial Unicode MS"/>
                <w:sz w:val="16"/>
                <w:szCs w:val="17"/>
              </w:rPr>
            </w:pPr>
            <w:r>
              <w:rPr>
                <w:sz w:val="16"/>
                <w:szCs w:val="17"/>
              </w:rPr>
              <w:t>Reliant Energy</w:t>
            </w:r>
          </w:p>
        </w:tc>
        <w:tc>
          <w:tcPr>
            <w:tcW w:w="3332" w:type="dxa"/>
            <w:tcBorders/>
            <w:shd w:fill="FFFFFF" w:val="clear"/>
            <w:vAlign w:val="center"/>
          </w:tcPr>
          <w:p>
            <w:pPr>
              <w:pStyle w:val="Normal"/>
              <w:rPr>
                <w:rFonts w:eastAsia="Arial Unicode MS"/>
                <w:sz w:val="16"/>
                <w:szCs w:val="17"/>
              </w:rPr>
            </w:pPr>
            <w:r>
              <w:rPr>
                <w:sz w:val="16"/>
                <w:szCs w:val="17"/>
              </w:rPr>
              <w:t>Energy</w:t>
            </w:r>
          </w:p>
        </w:tc>
        <w:tc>
          <w:tcPr>
            <w:tcW w:w="1260" w:type="dxa"/>
            <w:tcBorders/>
            <w:shd w:fill="FFFFFF" w:val="clear"/>
            <w:vAlign w:val="center"/>
          </w:tcPr>
          <w:p>
            <w:pPr>
              <w:pStyle w:val="Normal"/>
              <w:jc w:val="center"/>
              <w:rPr>
                <w:rFonts w:eastAsia="Arial Unicode MS"/>
                <w:sz w:val="16"/>
                <w:szCs w:val="17"/>
              </w:rPr>
            </w:pPr>
            <w:r>
              <w:rPr>
                <w:sz w:val="16"/>
                <w:szCs w:val="17"/>
              </w:rPr>
              <w:t>38.4%</w:t>
            </w:r>
          </w:p>
        </w:tc>
      </w:tr>
      <w:tr>
        <w:trPr/>
        <w:tc>
          <w:tcPr>
            <w:tcW w:w="2862" w:type="dxa"/>
            <w:tcBorders/>
            <w:shd w:fill="CCFFCC" w:val="clear"/>
            <w:vAlign w:val="center"/>
          </w:tcPr>
          <w:p>
            <w:pPr>
              <w:pStyle w:val="Normal"/>
              <w:rPr>
                <w:rFonts w:eastAsia="Arial Unicode MS"/>
                <w:sz w:val="16"/>
                <w:szCs w:val="17"/>
              </w:rPr>
            </w:pPr>
            <w:r>
              <w:rPr>
                <w:sz w:val="16"/>
                <w:szCs w:val="17"/>
              </w:rPr>
              <w:t>Southern</w:t>
            </w:r>
          </w:p>
        </w:tc>
        <w:tc>
          <w:tcPr>
            <w:tcW w:w="3332" w:type="dxa"/>
            <w:tcBorders/>
            <w:shd w:fill="CCFFCC" w:val="clear"/>
            <w:vAlign w:val="center"/>
          </w:tcPr>
          <w:p>
            <w:pPr>
              <w:pStyle w:val="Normal"/>
              <w:rPr>
                <w:rFonts w:eastAsia="Arial Unicode MS"/>
                <w:sz w:val="16"/>
                <w:szCs w:val="17"/>
              </w:rPr>
            </w:pPr>
            <w:r>
              <w:rPr>
                <w:sz w:val="16"/>
                <w:szCs w:val="17"/>
              </w:rPr>
              <w:t>Gas, electric utilities</w:t>
            </w:r>
          </w:p>
        </w:tc>
        <w:tc>
          <w:tcPr>
            <w:tcW w:w="1260" w:type="dxa"/>
            <w:tcBorders/>
            <w:shd w:fill="CCFFCC" w:val="clear"/>
            <w:vAlign w:val="center"/>
          </w:tcPr>
          <w:p>
            <w:pPr>
              <w:pStyle w:val="Normal"/>
              <w:jc w:val="center"/>
              <w:rPr>
                <w:rFonts w:eastAsia="Arial Unicode MS"/>
                <w:sz w:val="16"/>
                <w:szCs w:val="17"/>
              </w:rPr>
            </w:pPr>
            <w:r>
              <w:rPr>
                <w:sz w:val="16"/>
                <w:szCs w:val="17"/>
              </w:rPr>
              <w:t>37.7%</w:t>
            </w:r>
          </w:p>
        </w:tc>
      </w:tr>
      <w:tr>
        <w:trPr/>
        <w:tc>
          <w:tcPr>
            <w:tcW w:w="2862" w:type="dxa"/>
            <w:tcBorders/>
            <w:shd w:fill="FFFFFF" w:val="clear"/>
            <w:vAlign w:val="center"/>
          </w:tcPr>
          <w:p>
            <w:pPr>
              <w:pStyle w:val="Normal"/>
              <w:rPr>
                <w:rFonts w:eastAsia="Arial Unicode MS"/>
                <w:sz w:val="16"/>
                <w:szCs w:val="17"/>
              </w:rPr>
            </w:pPr>
            <w:r>
              <w:rPr>
                <w:sz w:val="16"/>
                <w:szCs w:val="17"/>
              </w:rPr>
              <w:t>PepsiCo</w:t>
            </w:r>
          </w:p>
        </w:tc>
        <w:tc>
          <w:tcPr>
            <w:tcW w:w="3332" w:type="dxa"/>
            <w:tcBorders/>
            <w:shd w:fill="FFFFFF" w:val="clear"/>
            <w:vAlign w:val="center"/>
          </w:tcPr>
          <w:p>
            <w:pPr>
              <w:pStyle w:val="Normal"/>
              <w:rPr>
                <w:rFonts w:eastAsia="Arial Unicode MS"/>
                <w:sz w:val="16"/>
                <w:szCs w:val="17"/>
              </w:rPr>
            </w:pPr>
            <w:r>
              <w:rPr>
                <w:sz w:val="16"/>
                <w:szCs w:val="17"/>
              </w:rPr>
              <w:t>Beverages</w:t>
            </w:r>
          </w:p>
        </w:tc>
        <w:tc>
          <w:tcPr>
            <w:tcW w:w="1260" w:type="dxa"/>
            <w:tcBorders/>
            <w:shd w:fill="FFFFFF" w:val="clear"/>
            <w:vAlign w:val="center"/>
          </w:tcPr>
          <w:p>
            <w:pPr>
              <w:pStyle w:val="Normal"/>
              <w:jc w:val="center"/>
              <w:rPr>
                <w:rFonts w:eastAsia="Arial Unicode MS"/>
                <w:sz w:val="16"/>
                <w:szCs w:val="17"/>
              </w:rPr>
            </w:pPr>
            <w:r>
              <w:rPr>
                <w:sz w:val="16"/>
                <w:szCs w:val="17"/>
              </w:rPr>
              <w:t>32.8%</w:t>
            </w:r>
          </w:p>
        </w:tc>
      </w:tr>
      <w:tr>
        <w:trPr/>
        <w:tc>
          <w:tcPr>
            <w:tcW w:w="2862" w:type="dxa"/>
            <w:tcBorders/>
            <w:shd w:fill="CCFFCC" w:val="clear"/>
            <w:vAlign w:val="center"/>
          </w:tcPr>
          <w:p>
            <w:pPr>
              <w:pStyle w:val="Normal"/>
              <w:rPr>
                <w:rFonts w:eastAsia="Arial Unicode MS"/>
                <w:b/>
                <w:bCs/>
                <w:color w:val="0000FF"/>
                <w:sz w:val="16"/>
                <w:szCs w:val="17"/>
              </w:rPr>
            </w:pPr>
            <w:r>
              <w:rPr>
                <w:b/>
                <w:bCs/>
                <w:color w:val="0000FF"/>
                <w:sz w:val="16"/>
                <w:szCs w:val="17"/>
              </w:rPr>
              <w:t>Enron</w:t>
            </w:r>
          </w:p>
        </w:tc>
        <w:tc>
          <w:tcPr>
            <w:tcW w:w="3332" w:type="dxa"/>
            <w:tcBorders/>
            <w:shd w:fill="CCFFCC" w:val="clear"/>
            <w:vAlign w:val="center"/>
          </w:tcPr>
          <w:p>
            <w:pPr>
              <w:pStyle w:val="Normal"/>
              <w:rPr>
                <w:rFonts w:eastAsia="Arial Unicode MS"/>
                <w:b/>
                <w:bCs/>
                <w:color w:val="0000FF"/>
                <w:sz w:val="16"/>
                <w:szCs w:val="17"/>
              </w:rPr>
            </w:pPr>
            <w:r>
              <w:rPr>
                <w:b/>
                <w:bCs/>
                <w:color w:val="0000FF"/>
                <w:sz w:val="16"/>
                <w:szCs w:val="17"/>
              </w:rPr>
              <w:t>Pipelines</w:t>
            </w:r>
          </w:p>
        </w:tc>
        <w:tc>
          <w:tcPr>
            <w:tcW w:w="1260" w:type="dxa"/>
            <w:tcBorders/>
            <w:shd w:fill="CCFFCC" w:val="clear"/>
            <w:vAlign w:val="center"/>
          </w:tcPr>
          <w:p>
            <w:pPr>
              <w:pStyle w:val="Normal"/>
              <w:jc w:val="center"/>
              <w:rPr>
                <w:rFonts w:eastAsia="Arial Unicode MS"/>
                <w:b/>
                <w:bCs/>
                <w:color w:val="0000FF"/>
                <w:sz w:val="16"/>
                <w:szCs w:val="17"/>
              </w:rPr>
            </w:pPr>
            <w:r>
              <w:rPr>
                <w:b/>
                <w:bCs/>
                <w:color w:val="0000FF"/>
                <w:sz w:val="16"/>
                <w:szCs w:val="17"/>
              </w:rPr>
              <w:t>32.2%</w:t>
            </w:r>
          </w:p>
        </w:tc>
      </w:tr>
      <w:tr>
        <w:trPr/>
        <w:tc>
          <w:tcPr>
            <w:tcW w:w="2862" w:type="dxa"/>
            <w:tcBorders/>
            <w:shd w:fill="FFFFFF" w:val="clear"/>
            <w:vAlign w:val="center"/>
          </w:tcPr>
          <w:p>
            <w:pPr>
              <w:pStyle w:val="Normal"/>
              <w:rPr>
                <w:rFonts w:eastAsia="Arial Unicode MS"/>
                <w:sz w:val="16"/>
                <w:szCs w:val="17"/>
              </w:rPr>
            </w:pPr>
            <w:r>
              <w:rPr>
                <w:sz w:val="16"/>
                <w:szCs w:val="17"/>
              </w:rPr>
              <w:t>TXU</w:t>
            </w:r>
          </w:p>
        </w:tc>
        <w:tc>
          <w:tcPr>
            <w:tcW w:w="3332" w:type="dxa"/>
            <w:tcBorders/>
            <w:shd w:fill="FFFFFF" w:val="clear"/>
            <w:vAlign w:val="center"/>
          </w:tcPr>
          <w:p>
            <w:pPr>
              <w:pStyle w:val="Normal"/>
              <w:rPr>
                <w:rFonts w:eastAsia="Arial Unicode MS"/>
                <w:sz w:val="16"/>
                <w:szCs w:val="17"/>
              </w:rPr>
            </w:pPr>
            <w:r>
              <w:rPr>
                <w:sz w:val="16"/>
                <w:szCs w:val="17"/>
              </w:rPr>
              <w:t>Gas, electric utilities</w:t>
            </w:r>
          </w:p>
        </w:tc>
        <w:tc>
          <w:tcPr>
            <w:tcW w:w="1260" w:type="dxa"/>
            <w:tcBorders/>
            <w:shd w:fill="FFFFFF" w:val="clear"/>
            <w:vAlign w:val="center"/>
          </w:tcPr>
          <w:p>
            <w:pPr>
              <w:pStyle w:val="Normal"/>
              <w:jc w:val="center"/>
              <w:rPr>
                <w:rFonts w:eastAsia="Arial Unicode MS"/>
                <w:sz w:val="16"/>
                <w:szCs w:val="17"/>
              </w:rPr>
            </w:pPr>
            <w:r>
              <w:rPr>
                <w:sz w:val="16"/>
                <w:szCs w:val="17"/>
              </w:rPr>
              <w:t>21.7%</w:t>
            </w:r>
          </w:p>
        </w:tc>
      </w:tr>
      <w:tr>
        <w:trPr/>
        <w:tc>
          <w:tcPr>
            <w:tcW w:w="2862" w:type="dxa"/>
            <w:tcBorders/>
            <w:shd w:fill="CCFFCC" w:val="clear"/>
            <w:vAlign w:val="center"/>
          </w:tcPr>
          <w:p>
            <w:pPr>
              <w:pStyle w:val="Normal"/>
              <w:rPr>
                <w:rFonts w:eastAsia="Arial Unicode MS"/>
                <w:sz w:val="16"/>
                <w:szCs w:val="17"/>
              </w:rPr>
            </w:pPr>
            <w:r>
              <w:rPr>
                <w:sz w:val="16"/>
                <w:szCs w:val="17"/>
              </w:rPr>
              <w:t>PG&amp;E Corp.</w:t>
            </w:r>
          </w:p>
        </w:tc>
        <w:tc>
          <w:tcPr>
            <w:tcW w:w="3332" w:type="dxa"/>
            <w:tcBorders/>
            <w:shd w:fill="CCFFCC" w:val="clear"/>
            <w:vAlign w:val="center"/>
          </w:tcPr>
          <w:p>
            <w:pPr>
              <w:pStyle w:val="Normal"/>
              <w:rPr>
                <w:rFonts w:eastAsia="Arial Unicode MS"/>
                <w:sz w:val="16"/>
                <w:szCs w:val="17"/>
              </w:rPr>
            </w:pPr>
            <w:r>
              <w:rPr>
                <w:sz w:val="16"/>
                <w:szCs w:val="17"/>
              </w:rPr>
              <w:t>Gas, electric utilities</w:t>
            </w:r>
          </w:p>
        </w:tc>
        <w:tc>
          <w:tcPr>
            <w:tcW w:w="1260" w:type="dxa"/>
            <w:tcBorders/>
            <w:shd w:fill="CCFFCC" w:val="clear"/>
            <w:vAlign w:val="center"/>
          </w:tcPr>
          <w:p>
            <w:pPr>
              <w:pStyle w:val="Normal"/>
              <w:jc w:val="center"/>
              <w:rPr>
                <w:rFonts w:eastAsia="Arial Unicode MS"/>
                <w:sz w:val="16"/>
                <w:szCs w:val="17"/>
              </w:rPr>
            </w:pPr>
            <w:r>
              <w:rPr>
                <w:sz w:val="16"/>
                <w:szCs w:val="17"/>
              </w:rPr>
              <w:t>21.7%</w:t>
            </w:r>
          </w:p>
        </w:tc>
      </w:tr>
      <w:tr>
        <w:trPr/>
        <w:tc>
          <w:tcPr>
            <w:tcW w:w="2862" w:type="dxa"/>
            <w:tcBorders/>
            <w:shd w:fill="808080" w:val="clear"/>
            <w:vAlign w:val="center"/>
          </w:tcPr>
          <w:p>
            <w:pPr>
              <w:pStyle w:val="Normal"/>
              <w:snapToGrid w:val="false"/>
              <w:rPr>
                <w:rFonts w:eastAsia="Arial Unicode MS"/>
                <w:sz w:val="16"/>
                <w:szCs w:val="17"/>
              </w:rPr>
            </w:pPr>
            <w:r>
              <w:rPr>
                <w:rFonts w:eastAsia="Arial Unicode MS"/>
                <w:sz w:val="16"/>
                <w:szCs w:val="17"/>
              </w:rPr>
            </w:r>
          </w:p>
        </w:tc>
        <w:tc>
          <w:tcPr>
            <w:tcW w:w="3332" w:type="dxa"/>
            <w:tcBorders/>
            <w:shd w:fill="808080" w:val="clear"/>
            <w:vAlign w:val="center"/>
          </w:tcPr>
          <w:p>
            <w:pPr>
              <w:pStyle w:val="Normal"/>
              <w:snapToGrid w:val="false"/>
              <w:rPr>
                <w:rFonts w:eastAsia="Arial Unicode MS"/>
                <w:sz w:val="16"/>
                <w:szCs w:val="17"/>
              </w:rPr>
            </w:pPr>
            <w:r>
              <w:rPr>
                <w:rFonts w:eastAsia="Arial Unicode MS"/>
                <w:sz w:val="16"/>
                <w:szCs w:val="17"/>
              </w:rPr>
            </w:r>
          </w:p>
        </w:tc>
        <w:tc>
          <w:tcPr>
            <w:tcW w:w="1260" w:type="dxa"/>
            <w:tcBorders/>
            <w:shd w:fill="808080" w:val="clear"/>
            <w:vAlign w:val="center"/>
          </w:tcPr>
          <w:p>
            <w:pPr>
              <w:pStyle w:val="Normal"/>
              <w:snapToGrid w:val="false"/>
              <w:jc w:val="center"/>
              <w:rPr>
                <w:rFonts w:eastAsia="Arial Unicode MS"/>
                <w:sz w:val="16"/>
                <w:szCs w:val="17"/>
              </w:rPr>
            </w:pPr>
            <w:r>
              <w:rPr>
                <w:rFonts w:eastAsia="Arial Unicode MS"/>
                <w:sz w:val="16"/>
                <w:szCs w:val="17"/>
              </w:rPr>
            </w:r>
          </w:p>
        </w:tc>
      </w:tr>
      <w:tr>
        <w:trPr/>
        <w:tc>
          <w:tcPr>
            <w:tcW w:w="2862" w:type="dxa"/>
            <w:tcBorders/>
            <w:shd w:fill="CCFFCC" w:val="clear"/>
            <w:vAlign w:val="center"/>
          </w:tcPr>
          <w:p>
            <w:pPr>
              <w:pStyle w:val="Normal"/>
              <w:rPr>
                <w:rFonts w:eastAsia="Arial Unicode MS"/>
                <w:sz w:val="16"/>
                <w:szCs w:val="17"/>
              </w:rPr>
            </w:pPr>
            <w:r>
              <w:rPr>
                <w:rFonts w:eastAsia="Arial Unicode MS"/>
                <w:sz w:val="16"/>
                <w:szCs w:val="17"/>
              </w:rPr>
              <w:t>Dynegy</w:t>
            </w:r>
          </w:p>
        </w:tc>
        <w:tc>
          <w:tcPr>
            <w:tcW w:w="3332" w:type="dxa"/>
            <w:tcBorders/>
            <w:shd w:fill="CCFFCC" w:val="clear"/>
            <w:vAlign w:val="center"/>
          </w:tcPr>
          <w:p>
            <w:pPr>
              <w:pStyle w:val="Normal"/>
              <w:rPr>
                <w:rFonts w:eastAsia="Arial Unicode MS"/>
                <w:sz w:val="16"/>
                <w:szCs w:val="17"/>
              </w:rPr>
            </w:pPr>
            <w:r>
              <w:rPr>
                <w:rFonts w:eastAsia="Arial Unicode MS"/>
                <w:sz w:val="16"/>
                <w:szCs w:val="17"/>
              </w:rPr>
              <w:t>Pipelines</w:t>
            </w:r>
          </w:p>
        </w:tc>
        <w:tc>
          <w:tcPr>
            <w:tcW w:w="1260" w:type="dxa"/>
            <w:tcBorders/>
            <w:shd w:fill="CCFFCC" w:val="clear"/>
            <w:vAlign w:val="center"/>
          </w:tcPr>
          <w:p>
            <w:pPr>
              <w:pStyle w:val="Normal"/>
              <w:jc w:val="center"/>
              <w:rPr>
                <w:rFonts w:eastAsia="Arial Unicode MS"/>
                <w:sz w:val="16"/>
                <w:szCs w:val="17"/>
              </w:rPr>
            </w:pPr>
            <w:r>
              <w:rPr>
                <w:rFonts w:eastAsia="Arial Unicode MS"/>
                <w:sz w:val="16"/>
                <w:szCs w:val="17"/>
              </w:rPr>
              <w:t>4.0%</w:t>
            </w:r>
          </w:p>
        </w:tc>
      </w:tr>
      <w:tr>
        <w:trPr/>
        <w:tc>
          <w:tcPr>
            <w:tcW w:w="2862" w:type="dxa"/>
            <w:tcBorders/>
            <w:shd w:fill="FFFFFF" w:val="clear"/>
            <w:vAlign w:val="center"/>
          </w:tcPr>
          <w:p>
            <w:pPr>
              <w:pStyle w:val="Normal"/>
              <w:rPr>
                <w:rFonts w:eastAsia="Arial Unicode MS"/>
                <w:sz w:val="16"/>
                <w:szCs w:val="17"/>
              </w:rPr>
            </w:pPr>
            <w:r>
              <w:rPr>
                <w:rFonts w:eastAsia="Arial Unicode MS"/>
                <w:sz w:val="16"/>
                <w:szCs w:val="17"/>
              </w:rPr>
              <w:t>Goldman Sachs</w:t>
            </w:r>
            <w:r>
              <w:rPr>
                <w:rFonts w:eastAsia="Arial Unicode MS"/>
                <w:szCs w:val="17"/>
                <w:vertAlign w:val="superscript"/>
              </w:rPr>
              <w:t>1</w:t>
            </w:r>
          </w:p>
        </w:tc>
        <w:tc>
          <w:tcPr>
            <w:tcW w:w="3332" w:type="dxa"/>
            <w:tcBorders/>
            <w:shd w:fill="FFFFFF" w:val="clear"/>
            <w:vAlign w:val="center"/>
          </w:tcPr>
          <w:p>
            <w:pPr>
              <w:pStyle w:val="Normal"/>
              <w:rPr>
                <w:rFonts w:eastAsia="Arial Unicode MS"/>
                <w:sz w:val="16"/>
                <w:szCs w:val="17"/>
              </w:rPr>
            </w:pPr>
            <w:r>
              <w:rPr>
                <w:rFonts w:eastAsia="Arial Unicode MS"/>
                <w:sz w:val="16"/>
                <w:szCs w:val="17"/>
              </w:rPr>
              <w:t>Securities</w:t>
            </w:r>
          </w:p>
        </w:tc>
        <w:tc>
          <w:tcPr>
            <w:tcW w:w="1260" w:type="dxa"/>
            <w:tcBorders/>
            <w:shd w:fill="FFFFFF" w:val="clear"/>
            <w:vAlign w:val="center"/>
          </w:tcPr>
          <w:p>
            <w:pPr>
              <w:pStyle w:val="Normal"/>
              <w:jc w:val="center"/>
              <w:rPr>
                <w:rFonts w:eastAsia="Arial Unicode MS"/>
                <w:sz w:val="16"/>
                <w:szCs w:val="17"/>
              </w:rPr>
            </w:pPr>
            <w:r>
              <w:rPr>
                <w:rFonts w:eastAsia="Arial Unicode MS"/>
                <w:sz w:val="16"/>
                <w:szCs w:val="17"/>
              </w:rPr>
              <w:t>-3.1%</w:t>
            </w:r>
          </w:p>
        </w:tc>
      </w:tr>
      <w:tr>
        <w:trPr/>
        <w:tc>
          <w:tcPr>
            <w:tcW w:w="2862" w:type="dxa"/>
            <w:tcBorders/>
            <w:shd w:fill="CCFFCC" w:val="clear"/>
            <w:vAlign w:val="center"/>
          </w:tcPr>
          <w:p>
            <w:pPr>
              <w:pStyle w:val="Normal"/>
              <w:rPr>
                <w:rFonts w:eastAsia="Arial Unicode MS"/>
                <w:sz w:val="16"/>
                <w:szCs w:val="17"/>
              </w:rPr>
            </w:pPr>
            <w:r>
              <w:rPr>
                <w:rFonts w:eastAsia="Arial Unicode MS"/>
                <w:sz w:val="16"/>
                <w:szCs w:val="17"/>
              </w:rPr>
              <w:t>Morgan Stanley Dean Witter</w:t>
            </w:r>
          </w:p>
        </w:tc>
        <w:tc>
          <w:tcPr>
            <w:tcW w:w="3332" w:type="dxa"/>
            <w:tcBorders/>
            <w:shd w:fill="CCFFCC" w:val="clear"/>
            <w:vAlign w:val="center"/>
          </w:tcPr>
          <w:p>
            <w:pPr>
              <w:pStyle w:val="Normal"/>
              <w:rPr>
                <w:rFonts w:eastAsia="Arial Unicode MS"/>
                <w:sz w:val="16"/>
                <w:szCs w:val="17"/>
              </w:rPr>
            </w:pPr>
            <w:r>
              <w:rPr>
                <w:rFonts w:eastAsia="Arial Unicode MS"/>
                <w:sz w:val="16"/>
                <w:szCs w:val="17"/>
              </w:rPr>
              <w:t>Securities</w:t>
            </w:r>
          </w:p>
        </w:tc>
        <w:tc>
          <w:tcPr>
            <w:tcW w:w="1260" w:type="dxa"/>
            <w:tcBorders/>
            <w:shd w:fill="CCFFCC" w:val="clear"/>
            <w:vAlign w:val="center"/>
          </w:tcPr>
          <w:p>
            <w:pPr>
              <w:pStyle w:val="Normal"/>
              <w:jc w:val="center"/>
              <w:rPr>
                <w:rFonts w:eastAsia="Arial Unicode MS"/>
                <w:sz w:val="16"/>
                <w:szCs w:val="17"/>
              </w:rPr>
            </w:pPr>
            <w:r>
              <w:rPr>
                <w:rFonts w:eastAsia="Arial Unicode MS"/>
                <w:sz w:val="16"/>
                <w:szCs w:val="17"/>
              </w:rPr>
              <w:t>-6.6%</w:t>
            </w:r>
          </w:p>
        </w:tc>
      </w:tr>
    </w:tbl>
    <w:p>
      <w:pPr>
        <w:pStyle w:val="Normal"/>
        <w:rPr>
          <w:sz w:val="6"/>
        </w:rPr>
      </w:pPr>
      <w:r>
        <w:rPr>
          <w:sz w:val="6"/>
        </w:rPr>
      </w:r>
    </w:p>
    <w:p>
      <w:pPr>
        <w:pStyle w:val="Header"/>
        <w:tabs>
          <w:tab w:val="clear" w:pos="4320"/>
          <w:tab w:val="clear" w:pos="8640"/>
        </w:tabs>
        <w:ind w:firstLine="720" w:start="720" w:end="0"/>
        <w:rPr>
          <w:sz w:val="16"/>
        </w:rPr>
      </w:pPr>
      <w:r>
        <w:rPr>
          <w:sz w:val="16"/>
        </w:rPr>
        <w:t>1 - Based on 1999-2000 TFP change only.</w:t>
      </w:r>
    </w:p>
    <w:p>
      <w:pPr>
        <w:pStyle w:val="Normal"/>
        <w:rPr>
          <w:sz w:val="16"/>
        </w:rPr>
      </w:pPr>
      <w:r>
        <w:rPr>
          <w:sz w:val="16"/>
        </w:rPr>
      </w:r>
    </w:p>
    <w:p>
      <w:pPr>
        <w:pStyle w:val="Normal"/>
        <w:rPr/>
      </w:pPr>
      <w:r>
        <w:rPr/>
      </w:r>
    </w:p>
    <w:p>
      <w:pPr>
        <w:pStyle w:val="Normal"/>
        <w:rPr/>
      </w:pPr>
      <w:hyperlink r:id="rId8">
        <w:r>
          <w:rPr>
            <w:rStyle w:val="Hyperlink"/>
          </w:rPr>
          <w:t xml:space="preserve">Link to Full Text of USA Today Article </w:t>
        </w:r>
      </w:hyperlink>
    </w:p>
    <w:p>
      <w:pPr>
        <w:pStyle w:val="Normal"/>
        <w:rPr>
          <w:sz w:val="10"/>
        </w:rPr>
      </w:pPr>
      <w:r>
        <w:rPr>
          <w:sz w:val="10"/>
        </w:rPr>
      </w:r>
    </w:p>
    <w:p>
      <w:pPr>
        <w:pStyle w:val="Normal"/>
        <w:rPr/>
      </w:pPr>
      <w:hyperlink r:id="rId9">
        <w:r>
          <w:rPr>
            <w:rStyle w:val="Hyperlink"/>
          </w:rPr>
          <w:t>Link to Explanation of TFP Calculation</w:t>
        </w:r>
      </w:hyperlink>
    </w:p>
    <w:p>
      <w:pPr>
        <w:pStyle w:val="Heading5"/>
        <w:ind w:hanging="0" w:start="0"/>
        <w:rPr>
          <w:sz w:val="18"/>
        </w:rPr>
      </w:pPr>
      <w:r>
        <w:rPr>
          <w:sz w:val="18"/>
        </w:rPr>
      </w:r>
    </w:p>
    <w:p>
      <w:pPr>
        <w:pStyle w:val="Heading5"/>
        <w:ind w:hanging="0" w:start="0"/>
        <w:rPr>
          <w:shadow/>
          <w:sz w:val="24"/>
        </w:rPr>
      </w:pPr>
      <w:r>
        <w:rPr>
          <w:shadow/>
          <w:sz w:val="24"/>
        </w:rPr>
        <w:t>Performance Management</w:t>
      </w:r>
    </w:p>
    <w:p>
      <w:pPr>
        <w:pStyle w:val="Normal"/>
        <w:rPr>
          <w:shadow/>
          <w:sz w:val="24"/>
        </w:rPr>
      </w:pPr>
      <w:r>
        <w:rPr>
          <w:shadow/>
          <w:sz w:val="24"/>
        </w:rPr>
      </w:r>
    </w:p>
    <w:p>
      <w:pPr>
        <w:pStyle w:val="Normal"/>
        <w:rPr/>
      </w:pPr>
      <w:r>
        <w:rPr/>
        <w:object w:dxaOrig="2654" w:dyaOrig="78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32.75pt;height:39pt" filled="f" o:ole="">
            <v:imagedata r:id="rId11" o:title=""/>
          </v:shape>
          <o:OLEObject Type="Embed" ProgID="" ShapeID="ole_rId10" DrawAspect="Content" ObjectID="_852095350" r:id="rId10"/>
        </w:object>
      </w:r>
    </w:p>
    <w:p>
      <w:pPr>
        <w:pStyle w:val="Normal"/>
        <w:rPr>
          <w:sz w:val="6"/>
        </w:rPr>
      </w:pPr>
      <w:r>
        <w:rPr>
          <w:sz w:val="6"/>
        </w:rPr>
      </w:r>
    </w:p>
    <w:p>
      <w:pPr>
        <w:pStyle w:val="Normal"/>
        <w:rPr>
          <w:shadow/>
          <w:u w:val="single"/>
        </w:rPr>
      </w:pPr>
      <w:r>
        <w:rPr>
          <w:b/>
          <w:bCs/>
          <w:shadow/>
          <w:szCs w:val="36"/>
          <w:u w:val="single"/>
        </w:rPr>
        <w:t>Rank &amp; Yank: The Problems With Forced Ranking</w:t>
      </w:r>
    </w:p>
    <w:p>
      <w:pPr>
        <w:pStyle w:val="Normal"/>
        <w:jc w:val="both"/>
        <w:rPr>
          <w:shadow/>
          <w:sz w:val="6"/>
          <w:u w:val="single"/>
        </w:rPr>
      </w:pPr>
      <w:r>
        <w:rPr>
          <w:shadow/>
          <w:sz w:val="6"/>
          <w:u w:val="single"/>
        </w:rPr>
      </w:r>
    </w:p>
    <w:p>
      <w:pPr>
        <w:pStyle w:val="BodyText3"/>
        <w:rPr/>
      </w:pPr>
      <w:r>
        <w:rPr/>
        <w:t>Excerpt:</w:t>
      </w:r>
    </w:p>
    <w:p>
      <w:pPr>
        <w:pStyle w:val="Normal"/>
        <w:jc w:val="both"/>
        <w:rPr>
          <w:sz w:val="6"/>
        </w:rPr>
      </w:pPr>
      <w:r>
        <w:rPr>
          <w:sz w:val="6"/>
        </w:rPr>
      </w:r>
    </w:p>
    <w:p>
      <w:pPr>
        <w:pStyle w:val="Normal"/>
        <w:jc w:val="both"/>
        <w:rPr/>
      </w:pPr>
      <w:r>
        <w:rPr/>
        <w:t>…</w:t>
      </w:r>
      <w:r>
        <w:rPr/>
        <w:t xml:space="preserve">Today, forced ranking can actually encourage average or mediocre performance. Once performance evaluation time rolls around, over half of the workforce typically will be force-ranked as average (or very close), while remaining employees will be ranked below and above this standard. </w:t>
      </w:r>
    </w:p>
    <w:p>
      <w:pPr>
        <w:pStyle w:val="Normal"/>
        <w:jc w:val="both"/>
        <w:rPr>
          <w:sz w:val="10"/>
        </w:rPr>
      </w:pPr>
      <w:r>
        <w:rPr>
          <w:sz w:val="10"/>
        </w:rPr>
      </w:r>
    </w:p>
    <w:p>
      <w:pPr>
        <w:pStyle w:val="Normal"/>
        <w:jc w:val="both"/>
        <w:rPr/>
      </w:pPr>
      <w:r>
        <w:rPr/>
        <w:t>In order to stay on track with the merit budget, employers, who force-rank, generally align employees in accordance with the pre-assigned performance distribution percentages. As you can imagine, this scenario results in intense internal conflict and can destroy any resemblance of employee teamwork and cooperation. Consider the employee who improves his or her performance; presumably, someone else will, in turn, be "squeezed down" to maintain a balance "fit" within the guidelines.</w:t>
      </w:r>
    </w:p>
    <w:p>
      <w:pPr>
        <w:pStyle w:val="Normal"/>
        <w:jc w:val="both"/>
        <w:rPr>
          <w:sz w:val="10"/>
        </w:rPr>
      </w:pPr>
      <w:r>
        <w:rPr>
          <w:sz w:val="10"/>
        </w:rPr>
      </w:r>
    </w:p>
    <w:p>
      <w:pPr>
        <w:pStyle w:val="Normal"/>
        <w:jc w:val="both"/>
        <w:rPr/>
      </w:pPr>
      <w:r>
        <w:rPr/>
        <w:t xml:space="preserve">Forced ranking forces evaluators to make determinations on a person-versus-person basis rather than a person-to-established-standards basis. In my opinion, this also causes management to move away from focusing on pre-established, objective job standards, and toward evaluations based on personal attributes. </w:t>
      </w:r>
    </w:p>
    <w:p>
      <w:pPr>
        <w:pStyle w:val="Normal"/>
        <w:rPr>
          <w:sz w:val="6"/>
        </w:rPr>
      </w:pPr>
      <w:r>
        <w:rPr>
          <w:sz w:val="6"/>
        </w:rPr>
      </w:r>
    </w:p>
    <w:p>
      <w:pPr>
        <w:pStyle w:val="Normal"/>
        <w:ind w:end="-360"/>
        <w:jc w:val="both"/>
        <w:rPr/>
      </w:pPr>
      <w:hyperlink r:id="rId12">
        <w:r>
          <w:rPr>
            <w:rStyle w:val="Hyperlink"/>
            <w:u w:val="none"/>
          </w:rPr>
          <w:t>Link to Workforce Article</w:t>
        </w:r>
      </w:hyperlink>
    </w:p>
    <w:p>
      <w:pPr>
        <w:pStyle w:val="Heading5"/>
        <w:ind w:hanging="0" w:start="0"/>
        <w:rPr>
          <w:sz w:val="24"/>
        </w:rPr>
      </w:pPr>
      <w:r>
        <w:rPr>
          <w:sz w:val="24"/>
        </w:rPr>
      </w:r>
    </w:p>
    <w:p>
      <w:pPr>
        <w:pStyle w:val="Normal"/>
        <w:rPr>
          <w:sz w:val="24"/>
        </w:rPr>
      </w:pPr>
      <w:r>
        <w:rPr>
          <w:sz w:val="24"/>
        </w:rPr>
      </w:r>
    </w:p>
    <w:p>
      <w:pPr>
        <w:pStyle w:val="Heading5"/>
        <w:ind w:hanging="0" w:start="0"/>
        <w:rPr>
          <w:shadow/>
          <w:sz w:val="24"/>
        </w:rPr>
      </w:pPr>
      <w:r>
        <w:rPr>
          <w:shadow/>
          <w:sz w:val="24"/>
        </w:rPr>
        <w:t>Benefits and Wellness</w:t>
      </w:r>
    </w:p>
    <w:p>
      <w:pPr>
        <w:pStyle w:val="Header"/>
        <w:tabs>
          <w:tab w:val="clear" w:pos="4320"/>
          <w:tab w:val="clear" w:pos="8640"/>
        </w:tabs>
        <w:rPr>
          <w:shadow/>
          <w:sz w:val="24"/>
        </w:rPr>
      </w:pPr>
      <w:r>
        <w:rPr>
          <w:shadow/>
          <w:sz w:val="24"/>
        </w:rPr>
      </w:r>
    </w:p>
    <w:p>
      <w:pPr>
        <w:pStyle w:val="Normal"/>
        <w:jc w:val="both"/>
        <w:rPr>
          <w:b/>
          <w:bCs/>
          <w:shadow/>
          <w:u w:val="single"/>
        </w:rPr>
      </w:pPr>
      <w:r>
        <w:rPr>
          <w:b/>
          <w:bCs/>
          <w:shadow/>
          <w:u w:val="single"/>
        </w:rPr>
        <w:t>MCOs plan surcharges for elite hospitals</w:t>
      </w:r>
    </w:p>
    <w:p>
      <w:pPr>
        <w:pStyle w:val="BodyText2"/>
        <w:autoSpaceDE w:val="true"/>
        <w:rPr>
          <w:szCs w:val="20"/>
        </w:rPr>
      </w:pPr>
      <w:r>
        <w:rPr>
          <w:szCs w:val="20"/>
        </w:rPr>
        <w:t xml:space="preserve">At least two managed care organizations – Tufts Health Plan and Pacificare – plan to boost charges for in-patient admissions at the most expensive, brand-name hospitals. </w:t>
      </w:r>
    </w:p>
    <w:p>
      <w:pPr>
        <w:pStyle w:val="Normal"/>
        <w:jc w:val="both"/>
        <w:rPr>
          <w:sz w:val="12"/>
          <w:szCs w:val="20"/>
        </w:rPr>
      </w:pPr>
      <w:r>
        <w:rPr>
          <w:sz w:val="12"/>
          <w:szCs w:val="20"/>
        </w:rPr>
      </w:r>
    </w:p>
    <w:p>
      <w:pPr>
        <w:pStyle w:val="Normal"/>
        <w:jc w:val="both"/>
        <w:rPr>
          <w:szCs w:val="20"/>
        </w:rPr>
      </w:pPr>
      <w:r>
        <w:rPr>
          <w:szCs w:val="20"/>
        </w:rPr>
        <w:t xml:space="preserve">Pacificare figures to have consumers pay $100 to $400 to visit a "higher- cost" hospital. Tufts, meantime, is offering plan variations that include higher co-pays for teaching hospitals, as well as different co-pays for visits to specialists instead of primary care physicians, in exchange for premium discounts. </w:t>
      </w:r>
    </w:p>
    <w:p>
      <w:pPr>
        <w:pStyle w:val="Normal"/>
        <w:jc w:val="both"/>
        <w:rPr>
          <w:sz w:val="12"/>
          <w:szCs w:val="20"/>
        </w:rPr>
      </w:pPr>
      <w:r>
        <w:rPr>
          <w:sz w:val="12"/>
          <w:szCs w:val="20"/>
        </w:rPr>
      </w:r>
    </w:p>
    <w:p>
      <w:pPr>
        <w:pStyle w:val="BodyText2"/>
        <w:autoSpaceDE w:val="true"/>
        <w:rPr>
          <w:szCs w:val="20"/>
        </w:rPr>
      </w:pPr>
      <w:r>
        <w:rPr>
          <w:szCs w:val="20"/>
        </w:rPr>
        <w:t xml:space="preserve">According to one report, Aetna plans a similar product for its clients in Massachusetts, where the number of people using teaching hospitals is reputed to be the highest in the country.  Sources inside Tufts expect only a small number of clients to take on the new co-pays when they debut in January; a stronger market impact is forecast for next year's open enrollment period. </w:t>
      </w:r>
    </w:p>
    <w:p>
      <w:pPr>
        <w:pStyle w:val="Normal"/>
        <w:ind w:start="360" w:end="-360"/>
        <w:jc w:val="both"/>
        <w:rPr>
          <w:b/>
          <w:bCs/>
          <w:shadow/>
          <w:szCs w:val="20"/>
          <w:u w:val="single"/>
        </w:rPr>
      </w:pPr>
      <w:r>
        <w:rPr>
          <w:b/>
          <w:bCs/>
          <w:shadow/>
          <w:szCs w:val="20"/>
          <w:u w:val="single"/>
        </w:rPr>
      </w:r>
    </w:p>
    <w:p>
      <w:pPr>
        <w:pStyle w:val="Normal"/>
        <w:ind w:end="-360"/>
        <w:jc w:val="both"/>
        <w:rPr>
          <w:b/>
          <w:bCs/>
          <w:shadow/>
          <w:u w:val="single"/>
        </w:rPr>
      </w:pPr>
      <w:r>
        <w:rPr>
          <w:b/>
          <w:bCs/>
          <w:szCs w:val="36"/>
          <w:u w:val="single"/>
        </w:rPr>
        <w:t>ADEA and Retiree Benefits: EEOC Guidelines Are Under Review</w:t>
      </w:r>
    </w:p>
    <w:p>
      <w:pPr>
        <w:pStyle w:val="Normal"/>
        <w:jc w:val="both"/>
        <w:rPr>
          <w:sz w:val="24"/>
        </w:rPr>
      </w:pPr>
      <w:r>
        <w:rPr>
          <w:szCs w:val="20"/>
        </w:rPr>
        <w:t>The Equal Employment Opportunity Commission has begun a review of its policy concerning the application of the Age Discrimination in Employment Act to employer-sponsored retiree health benefit plans, such as those offering extended health care coverage in the form of a Medicare bridge.</w:t>
      </w:r>
      <w:r>
        <w:rPr/>
        <w:t xml:space="preserve"> </w:t>
      </w:r>
    </w:p>
    <w:p>
      <w:pPr>
        <w:pStyle w:val="Normal"/>
        <w:jc w:val="both"/>
        <w:rPr>
          <w:sz w:val="12"/>
          <w:szCs w:val="20"/>
        </w:rPr>
      </w:pPr>
      <w:r>
        <w:rPr>
          <w:sz w:val="12"/>
          <w:szCs w:val="20"/>
        </w:rPr>
      </w:r>
    </w:p>
    <w:p>
      <w:pPr>
        <w:pStyle w:val="Normal"/>
        <w:jc w:val="both"/>
        <w:rPr>
          <w:szCs w:val="20"/>
        </w:rPr>
      </w:pPr>
      <w:r>
        <w:rPr>
          <w:szCs w:val="20"/>
        </w:rPr>
        <w:t>Established last October, the policy provides that retiree health benefit plans that are reduced or eliminated on the basis of age or Medicare-eligibility violate the ADEA (Medicare eligibility begins at age 65.). The unanimous decision rescinds portions of the EEOC Compliance Manual Chapter on "Employee Benefits" related to the application of the ADEA to retiree health plans.</w:t>
      </w:r>
    </w:p>
    <w:p>
      <w:pPr>
        <w:pStyle w:val="Normal"/>
        <w:rPr>
          <w:rFonts w:ascii="Arial" w:hAnsi="Arial" w:cs="Arial"/>
          <w:sz w:val="12"/>
          <w:szCs w:val="20"/>
        </w:rPr>
      </w:pPr>
      <w:r>
        <w:rPr>
          <w:rFonts w:cs="Arial" w:ascii="Arial" w:hAnsi="Arial"/>
          <w:sz w:val="12"/>
          <w:szCs w:val="20"/>
        </w:rPr>
      </w:r>
    </w:p>
    <w:p>
      <w:pPr>
        <w:pStyle w:val="Normal"/>
        <w:rPr/>
      </w:pPr>
      <w:r>
        <w:rPr/>
        <w:t xml:space="preserve">"Though it is clear that 'Medicare carve-out' plans that simply deduct from the benefits provided to Medicare-eligible retirees those benefits that Medicare provides do not violate the ADEA, additional review is needed to assess other types of retiree health plan practices," explains the EEOC. </w:t>
      </w:r>
    </w:p>
    <w:p>
      <w:pPr>
        <w:pStyle w:val="Normal"/>
        <w:rPr>
          <w:rFonts w:ascii="Arial" w:hAnsi="Arial" w:cs="Arial"/>
          <w:sz w:val="12"/>
          <w:szCs w:val="20"/>
        </w:rPr>
      </w:pPr>
      <w:r>
        <w:rPr>
          <w:rFonts w:cs="Arial" w:ascii="Arial" w:hAnsi="Arial"/>
          <w:sz w:val="12"/>
          <w:szCs w:val="20"/>
        </w:rPr>
      </w:r>
    </w:p>
    <w:p>
      <w:pPr>
        <w:pStyle w:val="Normal"/>
        <w:rPr/>
      </w:pPr>
      <w:r>
        <w:rPr/>
        <w:t>Pending completion of the policy review, the agency says it will not process Medicare bridge charges against employers, but that other age-discrimination claims will be actively pursued.</w:t>
      </w:r>
    </w:p>
    <w:p>
      <w:pPr>
        <w:pStyle w:val="Normal"/>
        <w:rPr/>
      </w:pPr>
      <w:r>
        <w:rPr/>
      </w:r>
    </w:p>
    <w:p>
      <w:pPr>
        <w:pStyle w:val="Normal"/>
        <w:rPr>
          <w:b/>
          <w:bCs/>
          <w:sz w:val="18"/>
          <w:u w:val="single"/>
        </w:rPr>
      </w:pPr>
      <w:r>
        <w:rPr>
          <w:b/>
          <w:bCs/>
          <w:sz w:val="18"/>
          <w:u w:val="single"/>
        </w:rPr>
      </w:r>
    </w:p>
    <w:p>
      <w:pPr>
        <w:pStyle w:val="Normal"/>
        <w:rPr>
          <w:b/>
          <w:bCs/>
          <w:shadow/>
          <w:u w:val="single"/>
        </w:rPr>
      </w:pPr>
      <w:r>
        <w:rPr>
          <w:b/>
          <w:bCs/>
          <w:shadow/>
          <w:u w:val="single"/>
        </w:rPr>
        <w:t>Health-Care Costs Rise 11% For Employers, Survey Finds</w:t>
      </w:r>
    </w:p>
    <w:p>
      <w:pPr>
        <w:pStyle w:val="Normal"/>
        <w:jc w:val="both"/>
        <w:rPr/>
      </w:pPr>
      <w:r>
        <w:rPr/>
        <w:t>The average cost of employer-sponsored health-care premiums jumped 11% from spring 2000 to spring 2001, the biggest spurt since 1992, a new survey found.</w:t>
      </w:r>
    </w:p>
    <w:p>
      <w:pPr>
        <w:pStyle w:val="Normal"/>
        <w:jc w:val="both"/>
        <w:rPr/>
      </w:pPr>
      <w:r>
        <w:rPr/>
      </w:r>
    </w:p>
    <w:p>
      <w:pPr>
        <w:pStyle w:val="Normal"/>
        <w:jc w:val="both"/>
        <w:rPr/>
      </w:pPr>
      <w:r>
        <w:rPr/>
        <w:t>The Kaiser Family Foundation, an independent group that addresses health-policy issues, surveyed 2,734 companies around the nation, finding that the smallest businesses -- those with three to nine workers -- saw the biggest increase, averaging 17%. Large companies -- those with more than 200 employees -- experienced a 10% jump.</w:t>
      </w:r>
    </w:p>
    <w:p>
      <w:pPr>
        <w:pStyle w:val="Normal"/>
        <w:jc w:val="both"/>
        <w:rPr>
          <w:sz w:val="10"/>
        </w:rPr>
      </w:pPr>
      <w:r>
        <w:rPr>
          <w:sz w:val="10"/>
        </w:rPr>
      </w:r>
    </w:p>
    <w:p>
      <w:pPr>
        <w:pStyle w:val="Normal"/>
        <w:jc w:val="both"/>
        <w:rPr/>
      </w:pPr>
      <w:r>
        <w:rPr/>
        <w:t>Premium increases for the prior year's survey period averaged 8.3% nationally, up from a 4.8% rise for the period ending in 1999.</w:t>
      </w:r>
    </w:p>
    <w:p>
      <w:pPr>
        <w:pStyle w:val="Normal"/>
        <w:rPr/>
      </w:pPr>
      <w:r>
        <w:rPr/>
      </w:r>
    </w:p>
    <w:p>
      <w:pPr>
        <w:pStyle w:val="Normal"/>
        <w:rPr/>
      </w:pPr>
      <w:r>
        <w:rPr/>
        <w:t>Many employers surveyed blamed the rise on prescription-drug spending, and 44% said they probably will have to boost employee insurance costs to pay for it. The average employee now pays $30 a month for coverage, a $2 increase from 2000, the report said.</w:t>
      </w:r>
    </w:p>
    <w:p>
      <w:pPr>
        <w:pStyle w:val="Normal"/>
        <w:rPr>
          <w:sz w:val="10"/>
        </w:rPr>
      </w:pPr>
      <w:r>
        <w:rPr>
          <w:sz w:val="10"/>
        </w:rPr>
      </w:r>
    </w:p>
    <w:p>
      <w:pPr>
        <w:pStyle w:val="Normal"/>
        <w:rPr/>
      </w:pPr>
      <w:r>
        <w:rPr/>
        <w:t>The survey also found that the number of employers offering health insurance to their employees stayed flat at 67%, about the same as it has been the last two years.</w:t>
      </w:r>
    </w:p>
    <w:p>
      <w:pPr>
        <w:pStyle w:val="Heading4"/>
        <w:ind w:hanging="0" w:start="0"/>
        <w:rPr>
          <w:shadow/>
        </w:rPr>
      </w:pPr>
      <w:r>
        <w:rPr>
          <w:shadow/>
        </w:rPr>
      </w:r>
    </w:p>
    <w:p>
      <w:pPr>
        <w:pStyle w:val="Heading4"/>
        <w:ind w:hanging="0" w:start="0"/>
        <w:rPr>
          <w:rFonts w:ascii="Arial Unicode MS" w:hAnsi="Arial Unicode MS" w:cs="Arial Unicode MS"/>
          <w:shadow/>
        </w:rPr>
      </w:pPr>
      <w:r>
        <w:rPr>
          <w:shadow/>
        </w:rPr>
        <w:t>Red ink marks HMOs in Texas</w:t>
      </w:r>
    </w:p>
    <w:p>
      <w:pPr>
        <w:pStyle w:val="BodyText2"/>
        <w:autoSpaceDE w:val="true"/>
        <w:rPr/>
      </w:pPr>
      <w:r>
        <w:rPr/>
        <w:t xml:space="preserve">Texas HMOs as a group continued a 21-month streak of unprofitability during the first half of the year, losing $124 million and increasing the likelihood that rates will rise again this year.  Almost half of the state's HMOs ended the second quarter in the red. </w:t>
      </w:r>
    </w:p>
    <w:p>
      <w:pPr>
        <w:pStyle w:val="Normal"/>
        <w:jc w:val="both"/>
        <w:rPr/>
      </w:pPr>
      <w:r>
        <w:rPr>
          <w:sz w:val="10"/>
        </w:rPr>
        <w:br/>
      </w:r>
      <w:r>
        <w:rPr/>
        <w:t xml:space="preserve">Last year, losses totaled $171 million, according to financial results released by the Texas Department of Insurance. </w:t>
      </w:r>
    </w:p>
    <w:p>
      <w:pPr>
        <w:pStyle w:val="Normal"/>
        <w:jc w:val="both"/>
        <w:rPr/>
      </w:pPr>
      <w:r>
        <w:rPr>
          <w:sz w:val="10"/>
        </w:rPr>
        <w:br/>
      </w:r>
      <w:r>
        <w:rPr/>
        <w:t xml:space="preserve">"The most positive point that can be made is that 20 of the 38 HMOs that submitted second-quarter reports indicated they made money," said Insurance Commissioner Jose Montemayor in a statement. </w:t>
      </w:r>
    </w:p>
    <w:p>
      <w:pPr>
        <w:pStyle w:val="Normal"/>
        <w:jc w:val="both"/>
        <w:rPr/>
      </w:pPr>
      <w:r>
        <w:rPr>
          <w:sz w:val="10"/>
        </w:rPr>
        <w:br/>
      </w:r>
      <w:r>
        <w:rPr/>
        <w:t xml:space="preserve">Unlike the 1990s, when HMOs buffered customers from some increases to grow market share, costs are now regularly passed along to employers. </w:t>
      </w:r>
    </w:p>
    <w:p>
      <w:pPr>
        <w:pStyle w:val="Normal"/>
        <w:jc w:val="both"/>
        <w:rPr/>
      </w:pPr>
      <w:r>
        <w:rPr>
          <w:sz w:val="10"/>
        </w:rPr>
        <w:br/>
      </w:r>
      <w:r>
        <w:rPr/>
        <w:t xml:space="preserve">Although many private employers have just begun negotiating health insurance rates for next year, recent studies by various benefits research firms suggest costs will rise by double-digit figures again next year. </w:t>
      </w:r>
    </w:p>
    <w:p>
      <w:pPr>
        <w:pStyle w:val="Normal"/>
        <w:jc w:val="both"/>
        <w:rPr/>
      </w:pPr>
      <w:r>
        <w:rPr>
          <w:sz w:val="10"/>
        </w:rPr>
        <w:br/>
      </w:r>
      <w:r>
        <w:rPr/>
        <w:t xml:space="preserve">Employers could see their health-care costs rise by 15 percent in 2002, according to a study released earlier this month by Managed Healthcare Market Report, an industry publication. Rising demand for prescription drugs and the movement away from rewarding physician groups for keeping costs down are helping fuel the cost increases, according to the study. </w:t>
      </w:r>
    </w:p>
    <w:p>
      <w:pPr>
        <w:pStyle w:val="Normal"/>
        <w:jc w:val="both"/>
        <w:rPr/>
      </w:pPr>
      <w:r>
        <w:rPr>
          <w:sz w:val="10"/>
        </w:rPr>
        <w:br/>
      </w:r>
      <w:r>
        <w:rPr/>
        <w:t xml:space="preserve">Nationally, many of the larger HMOs have reported healthy profits from their consolidated operations. At Humana Inc., profits rose 32 percent to $25 million during the second quarter, the company announced in July. United Healthcare Group posted profits of $223 million for the second quarter because of higher premiums and enrollments. But Aetna Inc. posted a loss of almost $96 million on continuing operations, a steep drop from the previous year because of rising medical costs. </w:t>
      </w:r>
    </w:p>
    <w:p>
      <w:pPr>
        <w:pStyle w:val="Normal"/>
        <w:jc w:val="both"/>
        <w:rPr/>
      </w:pPr>
      <w:r>
        <w:rPr>
          <w:sz w:val="10"/>
        </w:rPr>
        <w:br/>
      </w:r>
      <w:r>
        <w:rPr/>
        <w:t xml:space="preserve">Although their parent companies mostly continue to please Wall Street, the Texas operations of several HMOs have continued to lose money. </w:t>
      </w:r>
    </w:p>
    <w:p>
      <w:pPr>
        <w:pStyle w:val="Normal"/>
        <w:jc w:val="both"/>
        <w:rPr/>
      </w:pPr>
      <w:r>
        <w:rPr>
          <w:sz w:val="10"/>
        </w:rPr>
        <w:br/>
      </w:r>
      <w:r>
        <w:rPr/>
        <w:t xml:space="preserve">Five of 13 HMOs operating in Central Texas showed a deficit during the second quarter, most notably Texas Gulf Coast HMO, which saw its losses almost double from last year to $6.9 million. Scott &amp; White Health Plan, which provides service in 30 counties around Central Texas, remained profitable. But it saw its profits drop by half despite an increase in its enrollment of more than 10,000 people. </w:t>
      </w:r>
    </w:p>
    <w:p>
      <w:pPr>
        <w:pStyle w:val="Normal"/>
        <w:jc w:val="both"/>
        <w:rPr/>
      </w:pPr>
      <w:r>
        <w:rPr>
          <w:sz w:val="10"/>
        </w:rPr>
        <w:br/>
      </w:r>
      <w:r>
        <w:rPr/>
        <w:t xml:space="preserve">Humana Health Plan of Texas Inc. saw the biggest dip in enrollment, from 124,423 last year to just 35,648 through the end of June. Humana's losses dropped from $4.6 million to about $1 million during the second quarter of 2001. </w:t>
      </w:r>
    </w:p>
    <w:p>
      <w:pPr>
        <w:pStyle w:val="Normal"/>
        <w:jc w:val="both"/>
        <w:rPr>
          <w:sz w:val="18"/>
        </w:rPr>
      </w:pPr>
      <w:r>
        <w:rPr/>
        <w:br/>
      </w:r>
    </w:p>
    <w:p>
      <w:pPr>
        <w:pStyle w:val="Heading5"/>
        <w:ind w:hanging="0" w:start="0"/>
        <w:rPr>
          <w:shadow/>
          <w:sz w:val="18"/>
        </w:rPr>
      </w:pPr>
      <w:r>
        <w:rPr>
          <w:shadow/>
          <w:sz w:val="18"/>
        </w:rPr>
      </w:r>
    </w:p>
    <w:p>
      <w:pPr>
        <w:pStyle w:val="Heading5"/>
        <w:ind w:hanging="0" w:start="0"/>
        <w:jc w:val="both"/>
        <w:rPr>
          <w:shadow/>
          <w:sz w:val="20"/>
        </w:rPr>
      </w:pPr>
      <w:r>
        <w:rPr>
          <w:shadow/>
          <w:sz w:val="20"/>
        </w:rPr>
        <w:t>Cuts in Retiree Benefits an Option Perhaps, Panel Says</w:t>
      </w:r>
    </w:p>
    <w:p>
      <w:pPr>
        <w:pStyle w:val="Heading5"/>
        <w:ind w:hanging="0" w:start="0"/>
        <w:jc w:val="both"/>
        <w:rPr>
          <w:b w:val="false"/>
          <w:bCs w:val="false"/>
          <w:shadow/>
          <w:sz w:val="20"/>
          <w:u w:val="none"/>
        </w:rPr>
      </w:pPr>
      <w:r>
        <w:rPr>
          <w:b w:val="false"/>
          <w:bCs w:val="false"/>
          <w:shadow/>
          <w:sz w:val="20"/>
          <w:u w:val="none"/>
        </w:rPr>
        <w:t>President Bush’s Commission on Social Security has said that benefits cuts are one way to ensure the life of Social Security, according to a report from The New York Times.</w:t>
      </w:r>
    </w:p>
    <w:p>
      <w:pPr>
        <w:pStyle w:val="Heading5"/>
        <w:ind w:hanging="0" w:start="0"/>
        <w:jc w:val="both"/>
        <w:rPr>
          <w:b w:val="false"/>
          <w:bCs w:val="false"/>
          <w:shadow/>
          <w:sz w:val="10"/>
          <w:u w:val="none"/>
        </w:rPr>
      </w:pPr>
      <w:r>
        <w:rPr>
          <w:b w:val="false"/>
          <w:bCs w:val="false"/>
          <w:shadow/>
          <w:sz w:val="10"/>
          <w:u w:val="none"/>
        </w:rPr>
      </w:r>
    </w:p>
    <w:p>
      <w:pPr>
        <w:pStyle w:val="Heading5"/>
        <w:ind w:hanging="0" w:start="0"/>
        <w:jc w:val="both"/>
        <w:rPr>
          <w:b w:val="false"/>
          <w:bCs w:val="false"/>
          <w:shadow/>
          <w:sz w:val="20"/>
          <w:u w:val="none"/>
        </w:rPr>
      </w:pPr>
      <w:r>
        <w:rPr>
          <w:b w:val="false"/>
          <w:bCs w:val="false"/>
          <w:shadow/>
          <w:sz w:val="20"/>
          <w:u w:val="none"/>
        </w:rPr>
        <w:t>However, Richard D. Parsons, co-chair of the commission, also has said that no conclusions have been reached. Parsons did say that putting Social Security taxes into private investment accounts wouldnít guarantee better retirement benefits, but instead the returns "could be greater, could be less, depending on the performance securities in which you invested."</w:t>
      </w:r>
    </w:p>
    <w:p>
      <w:pPr>
        <w:pStyle w:val="Heading5"/>
        <w:ind w:hanging="0" w:start="0"/>
        <w:jc w:val="both"/>
        <w:rPr>
          <w:b w:val="false"/>
          <w:bCs w:val="false"/>
          <w:shadow/>
          <w:sz w:val="10"/>
          <w:u w:val="none"/>
        </w:rPr>
      </w:pPr>
      <w:r>
        <w:rPr>
          <w:b w:val="false"/>
          <w:bCs w:val="false"/>
          <w:shadow/>
          <w:sz w:val="10"/>
          <w:u w:val="none"/>
        </w:rPr>
      </w:r>
    </w:p>
    <w:p>
      <w:pPr>
        <w:pStyle w:val="Heading5"/>
        <w:ind w:hanging="0" w:start="0"/>
        <w:jc w:val="both"/>
        <w:rPr>
          <w:b w:val="false"/>
          <w:bCs w:val="false"/>
          <w:shadow/>
          <w:sz w:val="20"/>
          <w:u w:val="none"/>
        </w:rPr>
      </w:pPr>
      <w:r>
        <w:rPr>
          <w:b w:val="false"/>
          <w:bCs w:val="false"/>
          <w:shadow/>
          <w:sz w:val="20"/>
          <w:u w:val="none"/>
        </w:rPr>
        <w:t>The report noted that the panel said it has no intentions of reducing disability or survivors' benefits, which are a part of Social Security along with retirement benefits. "In no circumstances will disability benefits, survivorsí benefits be touched. We wonít even approach the question," said Daniel Moynihan, former senator of New York.</w:t>
      </w:r>
    </w:p>
    <w:p>
      <w:pPr>
        <w:pStyle w:val="Heading5"/>
        <w:ind w:hanging="0" w:start="0"/>
        <w:rPr>
          <w:b w:val="false"/>
          <w:bCs w:val="false"/>
          <w:shadow/>
          <w:sz w:val="20"/>
          <w:u w:val="none"/>
        </w:rPr>
      </w:pPr>
      <w:r>
        <w:rPr>
          <w:b w:val="false"/>
          <w:bCs w:val="false"/>
          <w:shadow/>
          <w:sz w:val="20"/>
          <w:u w:val="none"/>
        </w:rPr>
      </w:r>
    </w:p>
    <w:p>
      <w:pPr>
        <w:pStyle w:val="Heading5"/>
        <w:ind w:hanging="0" w:start="0"/>
        <w:rPr>
          <w:shadow/>
        </w:rPr>
      </w:pPr>
      <w:r>
        <w:rPr>
          <w:shadow/>
        </w:rPr>
        <w:t>Technology</w:t>
      </w:r>
    </w:p>
    <w:p>
      <w:pPr>
        <w:pStyle w:val="Normal"/>
        <w:jc w:val="both"/>
        <w:rPr/>
      </w:pPr>
      <w:r>
        <w:rPr/>
        <w:br/>
      </w:r>
      <w:r>
        <w:rPr>
          <w:b/>
          <w:bCs/>
          <w:shadow/>
          <w:u w:val="single"/>
        </w:rPr>
        <w:t>Poll: Employees Hold Back In E-mail</w:t>
      </w:r>
    </w:p>
    <w:p>
      <w:pPr>
        <w:pStyle w:val="Normal"/>
        <w:jc w:val="both"/>
        <w:rPr/>
      </w:pPr>
      <w:r>
        <w:rPr/>
        <w:t xml:space="preserve">Employers who believe their employees have embraced e-mail as a conduit for sharing ideas and feedback should think again, based on the results of a new poll. </w:t>
      </w:r>
    </w:p>
    <w:p>
      <w:pPr>
        <w:pStyle w:val="Normal"/>
        <w:jc w:val="both"/>
        <w:rPr/>
      </w:pPr>
      <w:r>
        <w:rPr>
          <w:sz w:val="10"/>
        </w:rPr>
        <w:br/>
      </w:r>
      <w:r>
        <w:rPr/>
        <w:t xml:space="preserve">The nationwide poll of 681 employees, conducted for two communication companies by the independent firm Market Facts Telenation, found more than 80 percent of the participants indicating that they have questions, concerns, and suggestions they would like to share with their employers. Yet only 33 percent indicated that they had used their company e-mail systems to do so. </w:t>
      </w:r>
    </w:p>
    <w:p>
      <w:pPr>
        <w:pStyle w:val="Normal"/>
        <w:jc w:val="both"/>
        <w:rPr/>
      </w:pPr>
      <w:r>
        <w:rPr>
          <w:sz w:val="10"/>
        </w:rPr>
        <w:br/>
      </w:r>
      <w:r>
        <w:rPr/>
        <w:t xml:space="preserve">A primary reason for the reluctance to share feedback via e-mail is employee fear of the consequences, according to Market Facts Telenation. </w:t>
      </w:r>
    </w:p>
    <w:p>
      <w:pPr>
        <w:pStyle w:val="Normal"/>
        <w:jc w:val="both"/>
        <w:rPr/>
      </w:pPr>
      <w:r>
        <w:rPr>
          <w:sz w:val="10"/>
        </w:rPr>
        <w:br/>
      </w:r>
      <w:r>
        <w:rPr/>
        <w:t xml:space="preserve">Forty-eight percent of the respondents believe their management actively monitors their e-mail, and 29 percent are concerned that they will be reprimanded or fired if management doesn't like what they say in an e-mail message. </w:t>
      </w:r>
    </w:p>
    <w:p>
      <w:pPr>
        <w:pStyle w:val="Normal"/>
        <w:jc w:val="both"/>
        <w:rPr>
          <w:sz w:val="24"/>
        </w:rPr>
      </w:pPr>
      <w:r>
        <w:rPr>
          <w:sz w:val="24"/>
        </w:rPr>
      </w:r>
    </w:p>
    <w:p>
      <w:pPr>
        <w:pStyle w:val="Normal"/>
        <w:jc w:val="both"/>
        <w:rPr>
          <w:sz w:val="24"/>
        </w:rPr>
      </w:pPr>
      <w:r>
        <w:rPr>
          <w:sz w:val="24"/>
        </w:rPr>
      </w:r>
    </w:p>
    <w:p>
      <w:pPr>
        <w:pStyle w:val="Heading4"/>
        <w:ind w:hanging="0" w:start="0"/>
        <w:rPr>
          <w:shadow/>
          <w:szCs w:val="36"/>
        </w:rPr>
      </w:pPr>
      <w:r>
        <w:rPr>
          <w:shadow/>
          <w:szCs w:val="36"/>
        </w:rPr>
        <w:t>Making Your Policies Work in a Digital World</w:t>
      </w:r>
    </w:p>
    <w:p>
      <w:pPr>
        <w:pStyle w:val="BodyText2"/>
        <w:autoSpaceDE w:val="true"/>
        <w:rPr/>
      </w:pPr>
      <w:r>
        <w:rPr/>
        <w:t>If you are one of the many millions of employers who are deciding that the technology age will benefit your company, or are a seasoned veteran in the push towards a plugged-in, paperless world, don't forget to put your policies and procedures in lock step with your laptops, Web browsers, and information systems.</w:t>
      </w:r>
    </w:p>
    <w:p>
      <w:pPr>
        <w:pStyle w:val="Normal"/>
        <w:jc w:val="both"/>
        <w:rPr>
          <w:sz w:val="10"/>
        </w:rPr>
      </w:pPr>
      <w:r>
        <w:rPr>
          <w:sz w:val="10"/>
        </w:rPr>
      </w:r>
    </w:p>
    <w:p>
      <w:pPr>
        <w:pStyle w:val="Normal"/>
        <w:jc w:val="both"/>
        <w:rPr/>
      </w:pPr>
      <w:r>
        <w:rPr/>
        <w:t>A common mistake with moving to new technologies is trying to adapt the systems to accommodate out-of-date policies. The unfortunate result is that a lot of money can be spent on custom programming that shoehorns a policy into a system that wasn't designed to handle it in the first place.</w:t>
      </w:r>
    </w:p>
    <w:p>
      <w:pPr>
        <w:pStyle w:val="Normal"/>
        <w:jc w:val="both"/>
        <w:rPr>
          <w:sz w:val="10"/>
        </w:rPr>
      </w:pPr>
      <w:r>
        <w:rPr>
          <w:sz w:val="10"/>
        </w:rPr>
      </w:r>
    </w:p>
    <w:p>
      <w:pPr>
        <w:pStyle w:val="Normal"/>
        <w:jc w:val="both"/>
        <w:rPr/>
      </w:pPr>
      <w:r>
        <w:rPr/>
        <w:t>Here's your first lesson: Don't fight the system.</w:t>
      </w:r>
    </w:p>
    <w:p>
      <w:pPr>
        <w:pStyle w:val="Normal"/>
        <w:jc w:val="both"/>
        <w:rPr>
          <w:sz w:val="10"/>
        </w:rPr>
      </w:pPr>
      <w:r>
        <w:rPr>
          <w:sz w:val="10"/>
        </w:rPr>
      </w:r>
    </w:p>
    <w:p>
      <w:pPr>
        <w:pStyle w:val="Normal"/>
        <w:jc w:val="both"/>
        <w:rPr/>
      </w:pPr>
      <w:r>
        <w:rPr/>
        <w:t xml:space="preserve">The greatest benefit of new technologies is that they tend to focus more on process rather than </w:t>
      </w:r>
      <w:r>
        <w:rPr>
          <w:i/>
          <w:iCs/>
        </w:rPr>
        <w:t>programming</w:t>
      </w:r>
      <w:r>
        <w:rPr/>
        <w:t>. The ultimate goal is to streamline your corporate functions into an efficient, well-oiled machine. That means you might just have to evaluate some of those long-held policies and see if they really are contributing to your bottom-line.</w:t>
      </w:r>
    </w:p>
    <w:p>
      <w:pPr>
        <w:pStyle w:val="Normal"/>
        <w:jc w:val="both"/>
        <w:rPr>
          <w:sz w:val="10"/>
        </w:rPr>
      </w:pPr>
      <w:r>
        <w:rPr>
          <w:sz w:val="10"/>
        </w:rPr>
      </w:r>
    </w:p>
    <w:p>
      <w:pPr>
        <w:pStyle w:val="Normal"/>
        <w:jc w:val="both"/>
        <w:rPr/>
      </w:pPr>
      <w:r>
        <w:rPr/>
        <w:t>The second simple lesson is that technology should make your life and the lives of your employees simpler. This means better access to information, easier ability to make decisions, and less time spent manually performing routine tasks. Some common areas that you see this happening today are:</w:t>
      </w:r>
    </w:p>
    <w:p>
      <w:pPr>
        <w:pStyle w:val="Normal"/>
        <w:jc w:val="both"/>
        <w:rPr>
          <w:rFonts w:eastAsia="Tahoma"/>
        </w:rPr>
      </w:pPr>
      <w:r>
        <w:rPr>
          <w:rFonts w:eastAsia="Tahoma"/>
        </w:rPr>
        <w:t xml:space="preserve"> </w:t>
      </w:r>
    </w:p>
    <w:p>
      <w:pPr>
        <w:pStyle w:val="Normal"/>
        <w:numPr>
          <w:ilvl w:val="0"/>
          <w:numId w:val="4"/>
        </w:numPr>
        <w:jc w:val="both"/>
        <w:rPr/>
      </w:pPr>
      <w:r>
        <w:rPr/>
        <w:t>Home-based telecommuting.</w:t>
      </w:r>
    </w:p>
    <w:p>
      <w:pPr>
        <w:pStyle w:val="Normal"/>
        <w:numPr>
          <w:ilvl w:val="0"/>
          <w:numId w:val="4"/>
        </w:numPr>
        <w:jc w:val="both"/>
        <w:rPr/>
      </w:pPr>
      <w:r>
        <w:rPr/>
        <w:t>Online, video or telephone meeting/conferencing.</w:t>
      </w:r>
    </w:p>
    <w:p>
      <w:pPr>
        <w:pStyle w:val="Normal"/>
        <w:numPr>
          <w:ilvl w:val="0"/>
          <w:numId w:val="4"/>
        </w:numPr>
        <w:jc w:val="both"/>
        <w:rPr/>
      </w:pPr>
      <w:r>
        <w:rPr/>
        <w:t>Web or telephone-enabled information systems (e.g.,benefits enrollments, corporate intranets).</w:t>
      </w:r>
    </w:p>
    <w:p>
      <w:pPr>
        <w:pStyle w:val="Normal"/>
        <w:numPr>
          <w:ilvl w:val="0"/>
          <w:numId w:val="4"/>
        </w:numPr>
        <w:jc w:val="both"/>
        <w:rPr/>
      </w:pPr>
      <w:r>
        <w:rPr/>
        <w:t>Mobile information sharing (e.g., laptops, PDAs)</w:t>
      </w:r>
    </w:p>
    <w:p>
      <w:pPr>
        <w:pStyle w:val="Header"/>
        <w:tabs>
          <w:tab w:val="clear" w:pos="4320"/>
          <w:tab w:val="clear" w:pos="8640"/>
        </w:tabs>
        <w:jc w:val="both"/>
        <w:rPr>
          <w:sz w:val="10"/>
        </w:rPr>
      </w:pPr>
      <w:r>
        <w:rPr>
          <w:sz w:val="10"/>
        </w:rPr>
      </w:r>
    </w:p>
    <w:p>
      <w:pPr>
        <w:pStyle w:val="Normal"/>
        <w:jc w:val="both"/>
        <w:rPr>
          <w:sz w:val="10"/>
        </w:rPr>
      </w:pPr>
      <w:r>
        <w:rPr>
          <w:sz w:val="10"/>
        </w:rPr>
      </w:r>
    </w:p>
    <w:p>
      <w:pPr>
        <w:pStyle w:val="Normal"/>
        <w:jc w:val="both"/>
        <w:rPr>
          <w:sz w:val="18"/>
        </w:rPr>
      </w:pPr>
      <w:r>
        <w:rPr>
          <w:sz w:val="18"/>
        </w:rPr>
      </w:r>
    </w:p>
    <w:p>
      <w:pPr>
        <w:pStyle w:val="Normal"/>
        <w:jc w:val="both"/>
        <w:rPr/>
      </w:pPr>
      <w:r>
        <w:rPr/>
        <w:t>Therefore, here are areas that you'll need to focus on when doing any technology implementation and policies that may help get you there:</w:t>
      </w:r>
    </w:p>
    <w:p>
      <w:pPr>
        <w:pStyle w:val="Normal"/>
        <w:jc w:val="both"/>
        <w:rPr/>
      </w:pPr>
      <w:r>
        <w:rPr/>
      </w:r>
    </w:p>
    <w:p>
      <w:pPr>
        <w:pStyle w:val="Normal"/>
        <w:numPr>
          <w:ilvl w:val="0"/>
          <w:numId w:val="2"/>
        </w:numPr>
        <w:jc w:val="both"/>
        <w:rPr/>
      </w:pPr>
      <w:r>
        <w:rPr>
          <w:b/>
          <w:bCs/>
        </w:rPr>
        <w:t>Have a plan.</w:t>
      </w:r>
      <w:r>
        <w:rPr/>
        <w:t xml:space="preserve"> Look at technology in the same strategic sense as the product or service you sell. It can end up affecting every part of your organization, including your customer. Have a strategic plan that guides all levels of and types of technology, from your overall system backbone (i.e., network) to how e-mails should be addressed. This strategic plan should be as much about culture as it is about process.</w:t>
      </w:r>
    </w:p>
    <w:p>
      <w:pPr>
        <w:pStyle w:val="Normal"/>
        <w:rPr>
          <w:sz w:val="10"/>
        </w:rPr>
      </w:pPr>
      <w:r>
        <w:rPr>
          <w:sz w:val="10"/>
        </w:rPr>
      </w:r>
    </w:p>
    <w:p>
      <w:pPr>
        <w:pStyle w:val="Normal"/>
        <w:ind w:start="720" w:end="0"/>
        <w:jc w:val="both"/>
        <w:rPr/>
      </w:pPr>
      <w:r>
        <w:rPr>
          <w:i/>
          <w:iCs/>
        </w:rPr>
        <w:t>Sample Policies/Tools to Consider:</w:t>
      </w:r>
      <w:r>
        <w:rPr/>
        <w:t xml:space="preserve"> </w:t>
      </w:r>
    </w:p>
    <w:p>
      <w:pPr>
        <w:pStyle w:val="Normal"/>
        <w:numPr>
          <w:ilvl w:val="1"/>
          <w:numId w:val="2"/>
        </w:numPr>
        <w:jc w:val="both"/>
        <w:rPr/>
      </w:pPr>
      <w:r>
        <w:rPr/>
        <w:t>Strategic technology mission statement/goals.</w:t>
      </w:r>
    </w:p>
    <w:p>
      <w:pPr>
        <w:pStyle w:val="Normal"/>
        <w:numPr>
          <w:ilvl w:val="1"/>
          <w:numId w:val="2"/>
        </w:numPr>
        <w:jc w:val="both"/>
        <w:rPr/>
      </w:pPr>
      <w:r>
        <w:rPr/>
        <w:t>E-mail and Internet usage policies.</w:t>
      </w:r>
    </w:p>
    <w:p>
      <w:pPr>
        <w:pStyle w:val="Normal"/>
        <w:numPr>
          <w:ilvl w:val="1"/>
          <w:numId w:val="2"/>
        </w:numPr>
        <w:jc w:val="both"/>
        <w:rPr/>
      </w:pPr>
      <w:r>
        <w:rPr/>
        <w:t>Evaluation plan for the addition of new technologies.</w:t>
      </w:r>
    </w:p>
    <w:p>
      <w:pPr>
        <w:pStyle w:val="Normal"/>
        <w:numPr>
          <w:ilvl w:val="1"/>
          <w:numId w:val="2"/>
        </w:numPr>
        <w:jc w:val="both"/>
        <w:rPr/>
      </w:pPr>
      <w:r>
        <w:rPr/>
        <w:t>Crisis/disaster management plan.</w:t>
      </w:r>
    </w:p>
    <w:p>
      <w:pPr>
        <w:pStyle w:val="Normal"/>
        <w:numPr>
          <w:ilvl w:val="1"/>
          <w:numId w:val="2"/>
        </w:numPr>
        <w:jc w:val="both"/>
        <w:rPr/>
      </w:pPr>
      <w:r>
        <w:rPr/>
        <w:t>Training and development plan.</w:t>
      </w:r>
    </w:p>
    <w:p>
      <w:pPr>
        <w:pStyle w:val="Normal"/>
        <w:jc w:val="both"/>
        <w:rPr>
          <w:b/>
          <w:bCs/>
          <w:sz w:val="22"/>
        </w:rPr>
      </w:pPr>
      <w:r>
        <w:rPr>
          <w:b/>
          <w:bCs/>
          <w:sz w:val="22"/>
        </w:rPr>
      </w:r>
    </w:p>
    <w:p>
      <w:pPr>
        <w:pStyle w:val="Normal"/>
        <w:jc w:val="both"/>
        <w:rPr>
          <w:b/>
          <w:bCs/>
          <w:sz w:val="22"/>
        </w:rPr>
      </w:pPr>
      <w:r>
        <w:rPr>
          <w:b/>
          <w:bCs/>
          <w:sz w:val="22"/>
        </w:rPr>
      </w:r>
    </w:p>
    <w:p>
      <w:pPr>
        <w:pStyle w:val="Normal"/>
        <w:numPr>
          <w:ilvl w:val="0"/>
          <w:numId w:val="2"/>
        </w:numPr>
        <w:jc w:val="both"/>
        <w:rPr/>
      </w:pPr>
      <w:r>
        <w:rPr>
          <w:b/>
          <w:bCs/>
        </w:rPr>
        <w:t xml:space="preserve">Bring employees up to a </w:t>
      </w:r>
      <w:r>
        <w:rPr>
          <w:b/>
          <w:bCs/>
          <w:i/>
          <w:iCs/>
        </w:rPr>
        <w:t>comfortable</w:t>
      </w:r>
      <w:r>
        <w:rPr>
          <w:b/>
          <w:bCs/>
        </w:rPr>
        <w:t xml:space="preserve"> speed.</w:t>
      </w:r>
      <w:r>
        <w:rPr/>
        <w:t xml:space="preserve"> Invest some time and dollars in assessing your employees' readiness for the technological change you're proposing. For instance, if you will want employees to do Web-enabled benefits enrollments, make sure they are comfortable with using a Web browser. This evaluation will also keep the end-user in mind when the vendor throws out those "bells and whistles" in front of you.</w:t>
      </w:r>
    </w:p>
    <w:p>
      <w:pPr>
        <w:pStyle w:val="Normal"/>
        <w:jc w:val="both"/>
        <w:rPr>
          <w:i/>
          <w:i/>
          <w:iCs/>
        </w:rPr>
      </w:pPr>
      <w:r>
        <w:rPr>
          <w:i/>
          <w:iCs/>
        </w:rPr>
      </w:r>
    </w:p>
    <w:p>
      <w:pPr>
        <w:pStyle w:val="Normal"/>
        <w:ind w:start="720" w:end="0"/>
        <w:jc w:val="both"/>
        <w:rPr/>
      </w:pPr>
      <w:r>
        <w:rPr>
          <w:i/>
          <w:iCs/>
        </w:rPr>
        <w:t>Sample Policies/Tools to Consider:</w:t>
      </w:r>
      <w:r>
        <w:rPr/>
        <w:t xml:space="preserve"> </w:t>
      </w:r>
    </w:p>
    <w:p>
      <w:pPr>
        <w:pStyle w:val="Normal"/>
        <w:numPr>
          <w:ilvl w:val="1"/>
          <w:numId w:val="2"/>
        </w:numPr>
        <w:jc w:val="both"/>
        <w:rPr/>
      </w:pPr>
      <w:r>
        <w:rPr/>
        <w:t>Basic computer/Internet training for all employees.</w:t>
      </w:r>
    </w:p>
    <w:p>
      <w:pPr>
        <w:pStyle w:val="Normal"/>
        <w:numPr>
          <w:ilvl w:val="1"/>
          <w:numId w:val="2"/>
        </w:numPr>
        <w:jc w:val="both"/>
        <w:rPr/>
      </w:pPr>
      <w:r>
        <w:rPr/>
        <w:t>Competency requirements built into job descriptions that include base knowledge levels in technologies the company may be using.</w:t>
      </w:r>
    </w:p>
    <w:p>
      <w:pPr>
        <w:pStyle w:val="Normal"/>
        <w:numPr>
          <w:ilvl w:val="1"/>
          <w:numId w:val="2"/>
        </w:numPr>
        <w:jc w:val="both"/>
        <w:rPr/>
      </w:pPr>
      <w:r>
        <w:rPr/>
        <w:t>Top-level support and usage of the technology.</w:t>
      </w:r>
    </w:p>
    <w:p>
      <w:pPr>
        <w:pStyle w:val="Normal"/>
        <w:ind w:start="1440" w:end="0"/>
        <w:jc w:val="both"/>
        <w:rPr>
          <w:sz w:val="22"/>
        </w:rPr>
      </w:pPr>
      <w:r>
        <w:rPr>
          <w:sz w:val="22"/>
        </w:rPr>
      </w:r>
    </w:p>
    <w:p>
      <w:pPr>
        <w:pStyle w:val="Normal"/>
        <w:ind w:start="1440" w:end="0"/>
        <w:jc w:val="both"/>
        <w:rPr>
          <w:sz w:val="22"/>
        </w:rPr>
      </w:pPr>
      <w:r>
        <w:rPr>
          <w:sz w:val="22"/>
        </w:rPr>
      </w:r>
    </w:p>
    <w:p>
      <w:pPr>
        <w:pStyle w:val="Normal"/>
        <w:numPr>
          <w:ilvl w:val="0"/>
          <w:numId w:val="2"/>
        </w:numPr>
        <w:jc w:val="both"/>
        <w:rPr/>
      </w:pPr>
      <w:r>
        <w:rPr>
          <w:b/>
          <w:bCs/>
        </w:rPr>
        <w:t>Evaluate the way people work.</w:t>
      </w:r>
      <w:r>
        <w:rPr/>
        <w:t xml:space="preserve"> In this age of the "virtual office" and the ability to work almost anywhere except the home office with a laptop and cell phone, you can realize some great benefits by having employees work in non-traditional settings. For example, if you can identify individuals whose job can be done from their home, there are "wins" on both sides. As an employer, you can save on office space. </w:t>
      </w:r>
    </w:p>
    <w:p>
      <w:pPr>
        <w:pStyle w:val="Header"/>
        <w:tabs>
          <w:tab w:val="clear" w:pos="4320"/>
          <w:tab w:val="clear" w:pos="8640"/>
        </w:tabs>
        <w:jc w:val="both"/>
        <w:rPr/>
      </w:pPr>
      <w:r>
        <w:rPr/>
      </w:r>
    </w:p>
    <w:p>
      <w:pPr>
        <w:pStyle w:val="Normal"/>
        <w:ind w:start="720" w:end="0"/>
        <w:jc w:val="both"/>
        <w:rPr/>
      </w:pPr>
      <w:r>
        <w:rPr/>
        <w:t>For the employee, work/life issues may be better managed without the constraints of the typical 8 to 5 workday. Of course, not all companies or specific positions within companies can utilize the benefits of the "virtual office," but for those that can, it can make your company more nimble in terms of staffing, organizational design and communications.</w:t>
      </w:r>
    </w:p>
    <w:p>
      <w:pPr>
        <w:pStyle w:val="Normal"/>
        <w:jc w:val="both"/>
        <w:rPr>
          <w:i/>
          <w:i/>
          <w:iCs/>
        </w:rPr>
      </w:pPr>
      <w:r>
        <w:rPr>
          <w:i/>
          <w:iCs/>
        </w:rPr>
      </w:r>
    </w:p>
    <w:p>
      <w:pPr>
        <w:pStyle w:val="Normal"/>
        <w:ind w:start="720" w:end="0"/>
        <w:jc w:val="both"/>
        <w:rPr/>
      </w:pPr>
      <w:r>
        <w:rPr>
          <w:i/>
          <w:iCs/>
        </w:rPr>
        <w:t>Sample Policies/Tools to Consider:</w:t>
      </w:r>
      <w:r>
        <w:rPr/>
        <w:t xml:space="preserve"> </w:t>
      </w:r>
    </w:p>
    <w:p>
      <w:pPr>
        <w:pStyle w:val="Normal"/>
        <w:numPr>
          <w:ilvl w:val="0"/>
          <w:numId w:val="6"/>
        </w:numPr>
        <w:jc w:val="both"/>
        <w:rPr/>
      </w:pPr>
      <w:r>
        <w:rPr/>
        <w:t>E-mail/phone etiquette.</w:t>
      </w:r>
    </w:p>
    <w:p>
      <w:pPr>
        <w:pStyle w:val="Normal"/>
        <w:numPr>
          <w:ilvl w:val="0"/>
          <w:numId w:val="6"/>
        </w:numPr>
        <w:jc w:val="both"/>
        <w:rPr/>
      </w:pPr>
      <w:r>
        <w:rPr/>
        <w:t>Flexible schedules.</w:t>
      </w:r>
    </w:p>
    <w:p>
      <w:pPr>
        <w:pStyle w:val="Normal"/>
        <w:numPr>
          <w:ilvl w:val="0"/>
          <w:numId w:val="6"/>
        </w:numPr>
        <w:jc w:val="both"/>
        <w:rPr/>
      </w:pPr>
      <w:r>
        <w:rPr/>
        <w:t>Telecommuting (include workers' compensation and OSHA issues).</w:t>
      </w:r>
    </w:p>
    <w:p>
      <w:pPr>
        <w:pStyle w:val="Normal"/>
        <w:numPr>
          <w:ilvl w:val="0"/>
          <w:numId w:val="6"/>
        </w:numPr>
        <w:jc w:val="both"/>
        <w:rPr/>
      </w:pPr>
      <w:r>
        <w:rPr/>
        <w:t>Evaluate issues of meeting in person versus via conference or online meetings.</w:t>
      </w:r>
    </w:p>
    <w:p>
      <w:pPr>
        <w:pStyle w:val="Normal"/>
        <w:numPr>
          <w:ilvl w:val="0"/>
          <w:numId w:val="6"/>
        </w:numPr>
        <w:jc w:val="both"/>
        <w:rPr/>
      </w:pPr>
      <w:r>
        <w:rPr/>
        <w:t>Time and project management training.</w:t>
      </w:r>
    </w:p>
    <w:p>
      <w:pPr>
        <w:pStyle w:val="Normal"/>
        <w:numPr>
          <w:ilvl w:val="0"/>
          <w:numId w:val="6"/>
        </w:numPr>
        <w:jc w:val="both"/>
        <w:rPr/>
      </w:pPr>
      <w:r>
        <w:rPr/>
        <w:t>Flexible compensation programs (project or volume-based versus hours worked.</w:t>
      </w:r>
    </w:p>
    <w:p>
      <w:pPr>
        <w:pStyle w:val="Normal"/>
        <w:numPr>
          <w:ilvl w:val="0"/>
          <w:numId w:val="6"/>
        </w:numPr>
        <w:jc w:val="both"/>
        <w:rPr/>
      </w:pPr>
      <w:r>
        <w:rPr/>
        <w:t>Organizational/workforce planning.</w:t>
      </w:r>
    </w:p>
    <w:p>
      <w:pPr>
        <w:pStyle w:val="Normal"/>
        <w:jc w:val="both"/>
        <w:rPr>
          <w:sz w:val="22"/>
        </w:rPr>
      </w:pPr>
      <w:r>
        <w:rPr>
          <w:sz w:val="22"/>
        </w:rPr>
      </w:r>
    </w:p>
    <w:p>
      <w:pPr>
        <w:pStyle w:val="Normal"/>
        <w:jc w:val="both"/>
        <w:rPr/>
      </w:pPr>
      <w:r>
        <w:rPr/>
        <w:t xml:space="preserve">In all of this, consider foremost how your customer will be impacted by your technological moves. You may even want to involve your customers in the planning process. Changes in corporate policies and procedures can sometimes mean changes in the way business is done. If it makes sense for your customers, then it's more likely to be a winning proposition. </w:t>
      </w:r>
    </w:p>
    <w:p>
      <w:pPr>
        <w:pStyle w:val="Normal"/>
        <w:jc w:val="both"/>
        <w:rPr>
          <w:sz w:val="18"/>
        </w:rPr>
      </w:pPr>
      <w:r>
        <w:rPr>
          <w:sz w:val="18"/>
        </w:rPr>
      </w:r>
    </w:p>
    <w:p>
      <w:pPr>
        <w:pStyle w:val="Heading5"/>
        <w:ind w:hanging="0" w:start="0"/>
        <w:jc w:val="both"/>
        <w:rPr>
          <w:shadow/>
          <w:sz w:val="20"/>
        </w:rPr>
      </w:pPr>
      <w:r>
        <w:rPr>
          <w:shadow/>
          <w:sz w:val="20"/>
        </w:rPr>
        <w:t>Study: More Workers Using Internet for Both Business and Pleasure</w:t>
      </w:r>
    </w:p>
    <w:p>
      <w:pPr>
        <w:pStyle w:val="Heading5"/>
        <w:ind w:hanging="0" w:start="0"/>
        <w:jc w:val="both"/>
        <w:rPr>
          <w:b w:val="false"/>
          <w:bCs w:val="false"/>
          <w:shadow/>
          <w:sz w:val="20"/>
          <w:u w:val="none"/>
        </w:rPr>
      </w:pPr>
      <w:r>
        <w:rPr>
          <w:b w:val="false"/>
          <w:bCs w:val="false"/>
          <w:shadow/>
          <w:sz w:val="20"/>
          <w:u w:val="none"/>
        </w:rPr>
        <w:t>Nearly seven in 10 American workers have access to the Internet at work, according to the August 2001 Xylo Report titled "Internet Usage in the Workplace."</w:t>
      </w:r>
    </w:p>
    <w:p>
      <w:pPr>
        <w:pStyle w:val="Heading5"/>
        <w:ind w:hanging="0" w:start="0"/>
        <w:jc w:val="both"/>
        <w:rPr>
          <w:b w:val="false"/>
          <w:bCs w:val="false"/>
          <w:shadow/>
          <w:sz w:val="20"/>
          <w:u w:val="none"/>
        </w:rPr>
      </w:pPr>
      <w:r>
        <w:rPr>
          <w:b w:val="false"/>
          <w:bCs w:val="false"/>
          <w:shadow/>
          <w:sz w:val="20"/>
          <w:u w:val="none"/>
        </w:rPr>
      </w:r>
    </w:p>
    <w:p>
      <w:pPr>
        <w:pStyle w:val="Heading5"/>
        <w:ind w:hanging="0" w:start="0"/>
        <w:jc w:val="both"/>
        <w:rPr>
          <w:b w:val="false"/>
          <w:bCs w:val="false"/>
          <w:shadow/>
          <w:sz w:val="20"/>
          <w:u w:val="none"/>
        </w:rPr>
      </w:pPr>
      <w:r>
        <w:rPr>
          <w:b w:val="false"/>
          <w:bCs w:val="false"/>
          <w:shadow/>
          <w:sz w:val="20"/>
          <w:u w:val="none"/>
        </w:rPr>
        <w:t>This number compares to the less than five in 10 from one year ago, when Xylo conducted its inaugural Internet use survey.</w:t>
      </w:r>
    </w:p>
    <w:p>
      <w:pPr>
        <w:pStyle w:val="Heading5"/>
        <w:ind w:hanging="0" w:start="0"/>
        <w:jc w:val="both"/>
        <w:rPr>
          <w:b w:val="false"/>
          <w:bCs w:val="false"/>
          <w:shadow/>
          <w:sz w:val="20"/>
          <w:u w:val="none"/>
        </w:rPr>
      </w:pPr>
      <w:r>
        <w:rPr>
          <w:b w:val="false"/>
          <w:bCs w:val="false"/>
          <w:shadow/>
          <w:sz w:val="20"/>
          <w:u w:val="none"/>
        </w:rPr>
      </w:r>
    </w:p>
    <w:p>
      <w:pPr>
        <w:pStyle w:val="Heading5"/>
        <w:ind w:hanging="0" w:start="0"/>
        <w:jc w:val="both"/>
        <w:rPr>
          <w:b w:val="false"/>
          <w:bCs w:val="false"/>
          <w:shadow/>
          <w:sz w:val="20"/>
          <w:u w:val="none"/>
        </w:rPr>
      </w:pPr>
      <w:r>
        <w:rPr>
          <w:b w:val="false"/>
          <w:bCs w:val="false"/>
          <w:shadow/>
          <w:sz w:val="20"/>
          <w:u w:val="none"/>
        </w:rPr>
        <w:t>Along gender lines, men and women use the Internet equally, but among younger age groups (18 to 34), women are 20% more likely to use it at work than men, and men are 21% more likely than women to use it for personal reasons. When using the Internet at work for personal reasons, men and women also seem to derive different benefits from the practice.  More women say it makes them happier and less stressed, while more men say it helps them to be better workers, the survey found.</w:t>
      </w:r>
    </w:p>
    <w:p>
      <w:pPr>
        <w:pStyle w:val="Heading5"/>
        <w:ind w:hanging="0" w:start="0"/>
        <w:jc w:val="both"/>
        <w:rPr>
          <w:b w:val="false"/>
          <w:bCs w:val="false"/>
          <w:shadow/>
          <w:sz w:val="20"/>
          <w:u w:val="none"/>
        </w:rPr>
      </w:pPr>
      <w:r>
        <w:rPr>
          <w:b w:val="false"/>
          <w:bCs w:val="false"/>
          <w:shadow/>
          <w:sz w:val="20"/>
          <w:u w:val="none"/>
        </w:rPr>
      </w:r>
    </w:p>
    <w:p>
      <w:pPr>
        <w:pStyle w:val="Heading5"/>
        <w:ind w:hanging="0" w:start="0"/>
        <w:jc w:val="both"/>
        <w:rPr>
          <w:b w:val="false"/>
          <w:bCs w:val="false"/>
          <w:shadow/>
          <w:sz w:val="20"/>
          <w:u w:val="none"/>
        </w:rPr>
      </w:pPr>
      <w:r>
        <w:rPr>
          <w:b w:val="false"/>
          <w:bCs w:val="false"/>
          <w:shadow/>
          <w:sz w:val="20"/>
          <w:u w:val="none"/>
        </w:rPr>
        <w:t>Compared with survey results from 2000, more employees have access to the Internet at work and more report boosts in productivity because of Internet use. Other findings include:</w:t>
      </w:r>
    </w:p>
    <w:p>
      <w:pPr>
        <w:pStyle w:val="Heading5"/>
        <w:ind w:hanging="0" w:start="0"/>
        <w:jc w:val="both"/>
        <w:rPr>
          <w:b w:val="false"/>
          <w:bCs w:val="false"/>
          <w:shadow/>
          <w:sz w:val="20"/>
          <w:u w:val="none"/>
        </w:rPr>
      </w:pPr>
      <w:r>
        <w:rPr>
          <w:b w:val="false"/>
          <w:bCs w:val="false"/>
          <w:shadow/>
          <w:sz w:val="20"/>
          <w:u w:val="none"/>
        </w:rPr>
      </w:r>
    </w:p>
    <w:p>
      <w:pPr>
        <w:pStyle w:val="Heading5"/>
        <w:numPr>
          <w:ilvl w:val="0"/>
          <w:numId w:val="5"/>
        </w:numPr>
        <w:ind w:hanging="360" w:start="720" w:end="540"/>
        <w:jc w:val="both"/>
        <w:rPr>
          <w:b w:val="false"/>
          <w:bCs w:val="false"/>
          <w:shadow/>
          <w:sz w:val="20"/>
          <w:u w:val="none"/>
        </w:rPr>
      </w:pPr>
      <w:r>
        <w:rPr>
          <w:b w:val="false"/>
          <w:bCs w:val="false"/>
          <w:shadow/>
          <w:sz w:val="20"/>
          <w:u w:val="none"/>
        </w:rPr>
        <w:t xml:space="preserve">Access to the Internet at work continues to grow as 66% of American workers now report having access in the workplace, compared to 44% in the 2000 survey. </w:t>
      </w:r>
    </w:p>
    <w:p>
      <w:pPr>
        <w:pStyle w:val="Heading5"/>
        <w:ind w:hanging="0" w:start="0" w:end="540"/>
        <w:jc w:val="both"/>
        <w:rPr>
          <w:b w:val="false"/>
          <w:bCs w:val="false"/>
          <w:shadow/>
          <w:sz w:val="20"/>
          <w:u w:val="none"/>
        </w:rPr>
      </w:pPr>
      <w:r>
        <w:rPr>
          <w:b w:val="false"/>
          <w:bCs w:val="false"/>
          <w:shadow/>
          <w:sz w:val="20"/>
          <w:u w:val="none"/>
        </w:rPr>
      </w:r>
    </w:p>
    <w:p>
      <w:pPr>
        <w:pStyle w:val="Heading5"/>
        <w:numPr>
          <w:ilvl w:val="0"/>
          <w:numId w:val="5"/>
        </w:numPr>
        <w:ind w:hanging="360" w:start="720" w:end="540"/>
        <w:jc w:val="both"/>
        <w:rPr>
          <w:b w:val="false"/>
          <w:bCs w:val="false"/>
          <w:shadow/>
          <w:sz w:val="20"/>
          <w:u w:val="none"/>
        </w:rPr>
      </w:pPr>
      <w:r>
        <w:rPr>
          <w:b w:val="false"/>
          <w:bCs w:val="false"/>
          <w:shadow/>
          <w:sz w:val="20"/>
          <w:u w:val="none"/>
        </w:rPr>
        <w:t xml:space="preserve">97% of this yearís respondents reported that personal use of the Internet at work has no negative impact (86% in 2000), while more than 50% continue to think that personal use at work has a positive impact (54% in 2000). </w:t>
      </w:r>
    </w:p>
    <w:p>
      <w:pPr>
        <w:pStyle w:val="Heading5"/>
        <w:ind w:hanging="0" w:start="0" w:end="540"/>
        <w:jc w:val="both"/>
        <w:rPr>
          <w:b w:val="false"/>
          <w:bCs w:val="false"/>
          <w:shadow/>
          <w:sz w:val="20"/>
          <w:u w:val="none"/>
        </w:rPr>
      </w:pPr>
      <w:r>
        <w:rPr>
          <w:b w:val="false"/>
          <w:bCs w:val="false"/>
          <w:shadow/>
          <w:sz w:val="20"/>
          <w:u w:val="none"/>
        </w:rPr>
      </w:r>
    </w:p>
    <w:p>
      <w:pPr>
        <w:pStyle w:val="Heading5"/>
        <w:numPr>
          <w:ilvl w:val="0"/>
          <w:numId w:val="5"/>
        </w:numPr>
        <w:ind w:hanging="360" w:start="720" w:end="540"/>
        <w:jc w:val="both"/>
        <w:rPr>
          <w:b w:val="false"/>
          <w:bCs w:val="false"/>
          <w:shadow/>
          <w:sz w:val="20"/>
          <w:u w:val="none"/>
        </w:rPr>
      </w:pPr>
      <w:r>
        <w:rPr>
          <w:b w:val="false"/>
          <w:bCs w:val="false"/>
          <w:shadow/>
          <w:sz w:val="20"/>
          <w:u w:val="none"/>
        </w:rPr>
        <w:t xml:space="preserve">67% of employees think the Internet boosts their productivity at work, indicating a 21% increase from last year (46%). </w:t>
      </w:r>
    </w:p>
    <w:p>
      <w:pPr>
        <w:pStyle w:val="Heading5"/>
        <w:ind w:hanging="0" w:start="0" w:end="540"/>
        <w:jc w:val="both"/>
        <w:rPr>
          <w:b w:val="false"/>
          <w:bCs w:val="false"/>
          <w:shadow/>
          <w:sz w:val="20"/>
          <w:u w:val="none"/>
        </w:rPr>
      </w:pPr>
      <w:r>
        <w:rPr>
          <w:b w:val="false"/>
          <w:bCs w:val="false"/>
          <w:shadow/>
          <w:sz w:val="20"/>
          <w:u w:val="none"/>
        </w:rPr>
      </w:r>
    </w:p>
    <w:p>
      <w:pPr>
        <w:pStyle w:val="Heading5"/>
        <w:numPr>
          <w:ilvl w:val="0"/>
          <w:numId w:val="5"/>
        </w:numPr>
        <w:ind w:hanging="360" w:start="720" w:end="540"/>
        <w:jc w:val="both"/>
        <w:rPr>
          <w:b w:val="false"/>
          <w:bCs w:val="false"/>
          <w:shadow/>
          <w:sz w:val="20"/>
          <w:u w:val="none"/>
        </w:rPr>
      </w:pPr>
      <w:r>
        <w:rPr>
          <w:b w:val="false"/>
          <w:bCs w:val="false"/>
          <w:shadow/>
          <w:sz w:val="20"/>
          <w:u w:val="none"/>
        </w:rPr>
        <w:t xml:space="preserve">People who use the Internet every day are more likely to say that it enhances productivity, compared with people who use it only once or twice a week (86% versus 49%). </w:t>
      </w:r>
    </w:p>
    <w:p>
      <w:pPr>
        <w:pStyle w:val="Heading5"/>
        <w:ind w:hanging="0" w:start="0" w:end="540"/>
        <w:jc w:val="both"/>
        <w:rPr>
          <w:b w:val="false"/>
          <w:bCs w:val="false"/>
          <w:shadow/>
          <w:sz w:val="20"/>
          <w:u w:val="none"/>
        </w:rPr>
      </w:pPr>
      <w:r>
        <w:rPr>
          <w:b w:val="false"/>
          <w:bCs w:val="false"/>
          <w:shadow/>
          <w:sz w:val="20"/>
          <w:u w:val="none"/>
        </w:rPr>
      </w:r>
    </w:p>
    <w:p>
      <w:pPr>
        <w:pStyle w:val="Heading5"/>
        <w:numPr>
          <w:ilvl w:val="0"/>
          <w:numId w:val="5"/>
        </w:numPr>
        <w:ind w:hanging="360" w:start="720" w:end="540"/>
        <w:jc w:val="both"/>
        <w:rPr>
          <w:b w:val="false"/>
          <w:bCs w:val="false"/>
          <w:shadow/>
          <w:sz w:val="20"/>
          <w:u w:val="none"/>
        </w:rPr>
      </w:pPr>
      <w:r>
        <w:rPr>
          <w:b w:val="false"/>
          <w:bCs w:val="false"/>
          <w:shadow/>
          <w:sz w:val="20"/>
          <w:u w:val="none"/>
        </w:rPr>
        <w:t>Of those who use the Internet at work, 64% use it for personal reasons, an increase from 49% last year.</w:t>
      </w:r>
    </w:p>
    <w:p>
      <w:pPr>
        <w:pStyle w:val="Normal"/>
        <w:rPr>
          <w:b/>
          <w:bCs/>
          <w:shadow/>
          <w:sz w:val="20"/>
          <w:u w:val="none"/>
        </w:rPr>
      </w:pPr>
      <w:r>
        <w:rPr>
          <w:b/>
          <w:bCs/>
          <w:shadow/>
          <w:sz w:val="20"/>
          <w:u w:val="none"/>
        </w:rPr>
      </w:r>
    </w:p>
    <w:p>
      <w:pPr>
        <w:pStyle w:val="BodyText2"/>
        <w:jc w:val="start"/>
        <w:rPr/>
      </w:pPr>
      <w:r>
        <w:rPr>
          <w:b/>
          <w:bCs/>
          <w:shadow/>
          <w:u w:val="single"/>
        </w:rPr>
        <w:t>Fast Fact</w:t>
        <w:br/>
      </w:r>
      <w:r>
        <w:rPr/>
        <w:t>The research firm Gartner Group Inc. says the number of companies providing Internet invoices will go to 26% by 2002 from about 9% today, jumping again to 35% by 2004. The rise of settlement systems will spur b-to-b commerce growth to $6 trillion by 2004 from $919 billion in 2001, Gartner said</w:t>
      </w:r>
    </w:p>
    <w:p>
      <w:pPr>
        <w:pStyle w:val="Header"/>
        <w:tabs>
          <w:tab w:val="clear" w:pos="4320"/>
          <w:tab w:val="clear" w:pos="8640"/>
        </w:tabs>
        <w:rPr/>
      </w:pPr>
      <w:r>
        <w:rPr/>
      </w:r>
    </w:p>
    <w:p>
      <w:pPr>
        <w:pStyle w:val="Normal"/>
        <w:rPr/>
      </w:pPr>
      <w:r>
        <w:rPr/>
      </w:r>
    </w:p>
    <w:p>
      <w:pPr>
        <w:pStyle w:val="Heading5"/>
        <w:ind w:hanging="0" w:start="0"/>
        <w:rPr>
          <w:sz w:val="24"/>
        </w:rPr>
      </w:pPr>
      <w:r>
        <w:rPr>
          <w:sz w:val="24"/>
        </w:rPr>
        <w:t>Compensation</w:t>
      </w:r>
    </w:p>
    <w:p>
      <w:pPr>
        <w:pStyle w:val="Normal"/>
        <w:ind w:end="-360"/>
        <w:jc w:val="both"/>
        <w:rPr>
          <w:b/>
          <w:bCs/>
          <w:shadow/>
          <w:sz w:val="22"/>
          <w:u w:val="single"/>
        </w:rPr>
      </w:pPr>
      <w:r>
        <w:rPr>
          <w:b/>
          <w:bCs/>
          <w:shadow/>
          <w:sz w:val="22"/>
          <w:u w:val="single"/>
        </w:rPr>
      </w:r>
    </w:p>
    <w:p>
      <w:pPr>
        <w:pStyle w:val="Normal"/>
        <w:jc w:val="both"/>
        <w:rPr>
          <w:b/>
          <w:bCs/>
          <w:sz w:val="22"/>
          <w:u w:val="single"/>
        </w:rPr>
      </w:pPr>
      <w:r>
        <w:rPr>
          <w:b/>
          <w:bCs/>
          <w:sz w:val="22"/>
          <w:u w:val="single"/>
        </w:rPr>
        <w:t>Wage Gap Persists for Women</w:t>
      </w:r>
    </w:p>
    <w:p>
      <w:pPr>
        <w:pStyle w:val="Normal"/>
        <w:ind w:end="-360"/>
        <w:jc w:val="both"/>
        <w:rPr/>
      </w:pPr>
      <w:r>
        <w:rPr/>
        <w:t>Working Woman magazine, published by Working Mother Media, reported today that women in the workforce earn only 76 cents to the man's dollar.</w:t>
      </w:r>
    </w:p>
    <w:p>
      <w:pPr>
        <w:pStyle w:val="Normal"/>
        <w:ind w:end="-360"/>
        <w:jc w:val="both"/>
        <w:rPr/>
      </w:pPr>
      <w:r>
        <w:rPr/>
        <w:br/>
        <w:t>This wage gap has barely changed in the past decade, up from 73 cents in 1990, and represents a pay differential of 24%, according to the magazine's 22nd Annual Salary Survey (on newsstands now).</w:t>
      </w:r>
    </w:p>
    <w:p>
      <w:pPr>
        <w:pStyle w:val="Normal"/>
        <w:ind w:end="-360"/>
        <w:jc w:val="both"/>
        <w:rPr/>
      </w:pPr>
      <w:r>
        <w:rPr/>
        <w:br/>
        <w:t xml:space="preserve">For women at the pinnacle of their professions - corporate CEOs, CFOs and COOs - the costliest difference lies not in salaries but in options. Working Woman identifies a critical battleground in the fight for equal wages in the upper echelons and corner offices of corporate America, where men leaders may earn as much as 20-30 times more than their women counterparts in terms of long-term compensation, including stock options and incentive plan payouts. This difference amounts to as much as hundreds of millions of dollars. </w:t>
      </w:r>
    </w:p>
    <w:p>
      <w:pPr>
        <w:pStyle w:val="Normal"/>
        <w:ind w:end="-360"/>
        <w:jc w:val="both"/>
        <w:rPr>
          <w:b/>
          <w:bCs/>
          <w:shadow/>
          <w:sz w:val="22"/>
          <w:u w:val="single"/>
        </w:rPr>
      </w:pPr>
      <w:r>
        <w:rPr/>
        <w:br/>
      </w:r>
    </w:p>
    <w:p>
      <w:pPr>
        <w:pStyle w:val="Normal"/>
        <w:jc w:val="both"/>
        <w:rPr>
          <w:b/>
          <w:bCs/>
          <w:shadow/>
          <w:sz w:val="18"/>
          <w:u w:val="single"/>
        </w:rPr>
      </w:pPr>
      <w:r>
        <w:rPr>
          <w:b/>
          <w:bCs/>
          <w:shadow/>
          <w:sz w:val="18"/>
          <w:u w:val="single"/>
        </w:rPr>
      </w:r>
    </w:p>
    <w:p>
      <w:pPr>
        <w:pStyle w:val="Heading4"/>
        <w:ind w:hanging="0" w:start="0"/>
        <w:rPr>
          <w:shadow/>
        </w:rPr>
      </w:pPr>
      <w:r>
        <w:rPr>
          <w:shadow/>
        </w:rPr>
        <w:t>Market Fallout: Year-End Bonuses Are No Longer Routine</w:t>
      </w:r>
    </w:p>
    <w:p>
      <w:pPr>
        <w:pStyle w:val="Normal"/>
        <w:jc w:val="both"/>
        <w:rPr/>
      </w:pPr>
      <w:r>
        <w:rPr/>
        <w:t>As senior executives review their companies' results for the year, they are facing an ugly reality. Given the economic downturn and the poor performance of the stock market, many employees, particularly managers, will probably receive drastically lower bonuses at the end of the year or early 2002.</w:t>
      </w:r>
    </w:p>
    <w:p>
      <w:pPr>
        <w:pStyle w:val="Normal"/>
        <w:jc w:val="both"/>
        <w:rPr/>
      </w:pPr>
      <w:r>
        <w:rPr/>
      </w:r>
    </w:p>
    <w:p>
      <w:pPr>
        <w:pStyle w:val="Normal"/>
        <w:jc w:val="both"/>
        <w:rPr/>
      </w:pPr>
      <w:r>
        <w:rPr/>
        <w:t xml:space="preserve">Companies are now deciding whether to tell employees and their shareholders months ahead of when they would normally find out, according to compensation consultants. Already, Ford Motors, Sun Microsystems and Media General have warned some employees not to expect bonuses. </w:t>
      </w:r>
    </w:p>
    <w:p>
      <w:pPr>
        <w:pStyle w:val="Normal"/>
        <w:jc w:val="both"/>
        <w:rPr/>
      </w:pPr>
      <w:r>
        <w:rPr/>
      </w:r>
    </w:p>
    <w:p>
      <w:pPr>
        <w:pStyle w:val="Normal"/>
        <w:jc w:val="both"/>
        <w:rPr/>
      </w:pPr>
      <w:r>
        <w:rPr/>
        <w:t>"I think there are a lot of companies that will get out in front," said Scott Olsen, a practice leader at Towers Perrin, a human resources consulting firm. He said that in addition to making sure employees know what to expect, a company can signal its commitment to keeping costs in line.</w:t>
      </w:r>
    </w:p>
    <w:p>
      <w:pPr>
        <w:pStyle w:val="Normal"/>
        <w:jc w:val="both"/>
        <w:rPr/>
      </w:pPr>
      <w:r>
        <w:rPr/>
      </w:r>
    </w:p>
    <w:p>
      <w:pPr>
        <w:pStyle w:val="Normal"/>
        <w:jc w:val="both"/>
        <w:rPr/>
      </w:pPr>
      <w:r>
        <w:rPr/>
        <w:t>In recent years, bonuses based on a company's performance have become a growing part of employee compensation. On Wall Street, which has long been associated with large bonuses, there are already rumblings about deep cuts in an effort to control expenses. Charles Schwab has said its employees are unlikely to see anything in the way of cash bonuses this year. Media and technology companies also rely heavily on bonuses.</w:t>
      </w:r>
    </w:p>
    <w:p>
      <w:pPr>
        <w:pStyle w:val="Normal"/>
        <w:ind w:end="-360"/>
        <w:jc w:val="both"/>
        <w:rPr>
          <w:b/>
          <w:bCs/>
          <w:shadow/>
          <w:sz w:val="6"/>
          <w:u w:val="single"/>
        </w:rPr>
      </w:pPr>
      <w:r>
        <w:rPr>
          <w:b/>
          <w:bCs/>
          <w:shadow/>
          <w:sz w:val="6"/>
          <w:u w:val="single"/>
        </w:rPr>
      </w:r>
    </w:p>
    <w:p>
      <w:pPr>
        <w:pStyle w:val="Normal"/>
        <w:jc w:val="both"/>
        <w:rPr/>
      </w:pPr>
      <w:hyperlink r:id="rId13">
        <w:r>
          <w:rPr>
            <w:rStyle w:val="Hyperlink"/>
          </w:rPr>
          <w:t>Link to Article</w:t>
        </w:r>
      </w:hyperlink>
    </w:p>
    <w:p>
      <w:pPr>
        <w:pStyle w:val="Normal"/>
        <w:jc w:val="both"/>
        <w:rPr/>
      </w:pPr>
      <w:r>
        <w:rPr/>
      </w:r>
    </w:p>
    <w:p>
      <w:pPr>
        <w:pStyle w:val="Heading5"/>
        <w:ind w:hanging="0" w:start="0"/>
        <w:jc w:val="both"/>
        <w:rPr/>
      </w:pPr>
      <w:r>
        <w:rPr/>
      </w:r>
    </w:p>
    <w:p>
      <w:pPr>
        <w:pStyle w:val="Heading5"/>
        <w:ind w:hanging="0" w:start="0"/>
        <w:jc w:val="both"/>
        <w:rPr>
          <w:shadow/>
          <w:sz w:val="20"/>
        </w:rPr>
      </w:pPr>
      <w:r>
        <w:rPr>
          <w:shadow/>
          <w:sz w:val="20"/>
        </w:rPr>
        <w:t>Top 200 U.S. Companies Deliver Majority of Board Pay in Form of Stock</w:t>
      </w:r>
    </w:p>
    <w:p>
      <w:pPr>
        <w:pStyle w:val="Heading5"/>
        <w:ind w:hanging="0" w:start="0"/>
        <w:jc w:val="both"/>
        <w:rPr>
          <w:b w:val="false"/>
          <w:bCs w:val="false"/>
          <w:sz w:val="20"/>
          <w:u w:val="none"/>
        </w:rPr>
      </w:pPr>
      <w:r>
        <w:rPr>
          <w:b w:val="false"/>
          <w:bCs w:val="false"/>
          <w:sz w:val="20"/>
          <w:u w:val="none"/>
        </w:rPr>
        <w:t>Aug. 16, 2001 — Board total remuneration at the United States’ top 200 companies average a record $138,747 in 2000, a 4% increase after five years of rapid growth, according to a study conducted by consulting firm Pearl Meyer &amp; Partners. 61% of director pay is now delivered in the form of stock, with all but 10 of the top 200 companies including a mandatory equity component in their board pay packages, the study found.</w:t>
      </w:r>
    </w:p>
    <w:p>
      <w:pPr>
        <w:pStyle w:val="Heading5"/>
        <w:ind w:hanging="0" w:start="0"/>
        <w:jc w:val="both"/>
        <w:rPr>
          <w:b w:val="false"/>
          <w:bCs w:val="false"/>
          <w:sz w:val="20"/>
          <w:u w:val="none"/>
        </w:rPr>
      </w:pPr>
      <w:r>
        <w:rPr>
          <w:b w:val="false"/>
          <w:bCs w:val="false"/>
          <w:sz w:val="20"/>
          <w:u w:val="none"/>
        </w:rPr>
      </w:r>
    </w:p>
    <w:p>
      <w:pPr>
        <w:pStyle w:val="Heading5"/>
        <w:ind w:hanging="0" w:start="0"/>
        <w:jc w:val="both"/>
        <w:rPr>
          <w:b w:val="false"/>
          <w:bCs w:val="false"/>
          <w:sz w:val="20"/>
          <w:u w:val="none"/>
        </w:rPr>
      </w:pPr>
      <w:r>
        <w:rPr>
          <w:b w:val="false"/>
          <w:bCs w:val="false"/>
          <w:sz w:val="20"/>
          <w:u w:val="none"/>
        </w:rPr>
        <w:t>On the other side of the digital divide, board total remuneration at the 100 largest dot-coms is almost identical, at $136,081. However, those new economy pay packages are radically different in structure from those at the top 200 firms, with fully 94% of dot-com compensation based in stock, nearly all of it in options, the study showed.</w:t>
      </w:r>
    </w:p>
    <w:p>
      <w:pPr>
        <w:pStyle w:val="Heading5"/>
        <w:ind w:hanging="0" w:start="0"/>
        <w:jc w:val="both"/>
        <w:rPr>
          <w:b w:val="false"/>
          <w:bCs w:val="false"/>
          <w:sz w:val="24"/>
          <w:u w:val="none"/>
        </w:rPr>
      </w:pPr>
      <w:r>
        <w:rPr>
          <w:b w:val="false"/>
          <w:bCs w:val="false"/>
          <w:sz w:val="24"/>
          <w:u w:val="none"/>
        </w:rPr>
      </w:r>
    </w:p>
    <w:p>
      <w:pPr>
        <w:pStyle w:val="Heading5"/>
        <w:ind w:hanging="0" w:start="0"/>
        <w:rPr>
          <w:shadow/>
        </w:rPr>
      </w:pPr>
      <w:r>
        <w:rPr>
          <w:shadow/>
        </w:rPr>
        <w:t>Employment Trends</w:t>
      </w:r>
    </w:p>
    <w:p>
      <w:pPr>
        <w:pStyle w:val="Normal"/>
        <w:jc w:val="both"/>
        <w:rPr>
          <w:b/>
          <w:bCs/>
          <w:shadow/>
          <w:sz w:val="12"/>
        </w:rPr>
      </w:pPr>
      <w:r>
        <w:rPr>
          <w:b/>
          <w:bCs/>
          <w:shadow/>
          <w:sz w:val="12"/>
        </w:rPr>
      </w:r>
    </w:p>
    <w:p>
      <w:pPr>
        <w:pStyle w:val="Heading4"/>
        <w:ind w:hanging="0" w:start="0"/>
        <w:rPr>
          <w:rFonts w:eastAsia="Arial Unicode MS"/>
          <w:shadow/>
        </w:rPr>
      </w:pPr>
      <w:r>
        <w:rPr>
          <w:shadow/>
        </w:rPr>
        <w:t>Taking Less Pay, Switching Industries Among Employment Trends</w:t>
      </w:r>
    </w:p>
    <w:p>
      <w:pPr>
        <w:pStyle w:val="BodyText2"/>
        <w:autoSpaceDE w:val="true"/>
        <w:rPr/>
      </w:pPr>
      <w:r>
        <w:rPr/>
        <w:t>According to a recent poll by employment consulting firm Drake Beam Morin, 80% of DBM consultants said job seekers are "sometimes accepting salaries and/or titles below what they expected, and 13% indicated this is happening "often."</w:t>
      </w:r>
    </w:p>
    <w:p>
      <w:pPr>
        <w:pStyle w:val="Normal"/>
        <w:jc w:val="both"/>
        <w:rPr/>
      </w:pPr>
      <w:r>
        <w:rPr/>
      </w:r>
    </w:p>
    <w:p>
      <w:pPr>
        <w:pStyle w:val="Normal"/>
        <w:jc w:val="both"/>
        <w:rPr/>
      </w:pPr>
      <w:r>
        <w:rPr/>
        <w:t>The poll also found that job seekers are switching their industry or job function more often, with one out of every two job seekers successfully changing industry or job function when landing a new job.</w:t>
      </w:r>
    </w:p>
    <w:p>
      <w:pPr>
        <w:pStyle w:val="Normal"/>
        <w:jc w:val="both"/>
        <w:rPr/>
      </w:pPr>
      <w:r>
        <w:rPr/>
      </w:r>
    </w:p>
    <w:p>
      <w:pPr>
        <w:pStyle w:val="Normal"/>
        <w:jc w:val="both"/>
        <w:rPr/>
      </w:pPr>
      <w:r>
        <w:rPr/>
        <w:t>The time it takes to find a new job is increasing the poll revealed. Todayís average job search length is increasing from last year. Another finding of the poll is that companies are rethinking their layoff strategies, understanding that the talent they let go today may be needed back when the economy recovers, according to DBM consultants. Voluntary separation has come back as a popular form of layoff.</w:t>
      </w:r>
    </w:p>
    <w:p>
      <w:pPr>
        <w:pStyle w:val="Normal"/>
        <w:jc w:val="both"/>
        <w:rPr>
          <w:b/>
          <w:bCs/>
        </w:rPr>
      </w:pPr>
      <w:r>
        <w:rPr>
          <w:b/>
          <w:bCs/>
        </w:rPr>
      </w:r>
    </w:p>
    <w:p>
      <w:pPr>
        <w:pStyle w:val="Heading4"/>
        <w:ind w:hanging="0" w:start="0"/>
        <w:rPr>
          <w:shadow/>
        </w:rPr>
      </w:pPr>
      <w:r>
        <w:rPr>
          <w:shadow/>
        </w:rPr>
        <w:t xml:space="preserve">Oil and gas industry helping to sustain area's job market </w:t>
      </w:r>
    </w:p>
    <w:p>
      <w:pPr>
        <w:pStyle w:val="Normal"/>
        <w:jc w:val="both"/>
        <w:rPr/>
      </w:pPr>
      <w:r>
        <w:rPr/>
        <w:t xml:space="preserve">As layoffs mount across the nation, the Houston area's strong oil and gas economy appears to have staved off local economic woes.  Overall, Houston employers have added 58,100 jobs in the past 12 months, a gain of 2.8 percent. And July's jobless rate fell 0.4 percentage point to 4.6 percent. </w:t>
      </w:r>
    </w:p>
    <w:p>
      <w:pPr>
        <w:pStyle w:val="Normal"/>
        <w:jc w:val="both"/>
        <w:rPr>
          <w:sz w:val="14"/>
        </w:rPr>
      </w:pPr>
      <w:r>
        <w:rPr>
          <w:sz w:val="14"/>
        </w:rPr>
      </w:r>
    </w:p>
    <w:p>
      <w:pPr>
        <w:pStyle w:val="Normal"/>
        <w:jc w:val="both"/>
        <w:rPr/>
      </w:pPr>
      <w:r>
        <w:rPr/>
        <w:t xml:space="preserve">The growth of Houston's energy-related economy -- oil and gas drilling and oil-field equipment manufacturing -- has slowed since January. But those sectors are still adding jobs. </w:t>
      </w:r>
    </w:p>
    <w:p>
      <w:pPr>
        <w:pStyle w:val="Normal"/>
        <w:jc w:val="both"/>
        <w:rPr/>
      </w:pPr>
      <w:r>
        <w:rPr/>
      </w:r>
    </w:p>
    <w:p>
      <w:pPr>
        <w:pStyle w:val="Normal"/>
        <w:jc w:val="both"/>
        <w:rPr>
          <w:sz w:val="18"/>
        </w:rPr>
      </w:pPr>
      <w:r>
        <w:rPr>
          <w:sz w:val="18"/>
        </w:rPr>
      </w:r>
    </w:p>
    <w:p>
      <w:pPr>
        <w:pStyle w:val="Heading5"/>
        <w:ind w:hanging="0" w:start="0"/>
        <w:rPr>
          <w:shadow/>
        </w:rPr>
      </w:pPr>
      <w:r>
        <w:rPr>
          <w:shadow/>
        </w:rPr>
        <w:t>Corporate Spending</w:t>
      </w:r>
    </w:p>
    <w:p>
      <w:pPr>
        <w:pStyle w:val="Header"/>
        <w:tabs>
          <w:tab w:val="clear" w:pos="4320"/>
          <w:tab w:val="clear" w:pos="8640"/>
        </w:tabs>
        <w:jc w:val="center"/>
        <w:rPr>
          <w:shadow/>
          <w:sz w:val="22"/>
        </w:rPr>
      </w:pPr>
      <w:r>
        <w:rPr>
          <w:shadow/>
          <w:sz w:val="22"/>
        </w:rPr>
      </w:r>
    </w:p>
    <w:p>
      <w:pPr>
        <w:pStyle w:val="Header"/>
        <w:tabs>
          <w:tab w:val="clear" w:pos="4320"/>
          <w:tab w:val="clear" w:pos="8640"/>
        </w:tabs>
        <w:jc w:val="center"/>
        <w:rPr>
          <w:shadow/>
          <w:sz w:val="12"/>
        </w:rPr>
      </w:pPr>
      <w:r>
        <w:rPr>
          <w:shadow/>
          <w:sz w:val="12"/>
        </w:rPr>
      </w:r>
    </w:p>
    <w:p>
      <w:pPr>
        <w:pStyle w:val="Header"/>
        <w:jc w:val="both"/>
        <w:rPr>
          <w:b/>
          <w:bCs/>
          <w:shadow/>
          <w:u w:val="single"/>
        </w:rPr>
      </w:pPr>
      <w:r>
        <w:rPr>
          <w:b/>
          <w:bCs/>
          <w:shadow/>
          <w:u w:val="single"/>
        </w:rPr>
        <w:t>Employers Looking to Control Expenses</w:t>
      </w:r>
    </w:p>
    <w:p>
      <w:pPr>
        <w:pStyle w:val="Header"/>
        <w:jc w:val="both"/>
        <w:rPr/>
      </w:pPr>
      <w:r>
        <w:rPr/>
        <w:t>Controlling expenses -- particularly when it comes to rising health care, disability and labor costs -- is expected to be the most critical business issues that employers face in the next two to three years, according to a report from PlanSponsor.com.</w:t>
      </w:r>
    </w:p>
    <w:p>
      <w:pPr>
        <w:pStyle w:val="Header"/>
        <w:jc w:val="both"/>
        <w:rPr/>
      </w:pPr>
      <w:r>
        <w:rPr/>
      </w:r>
    </w:p>
    <w:p>
      <w:pPr>
        <w:pStyle w:val="Header"/>
        <w:jc w:val="both"/>
        <w:rPr/>
      </w:pPr>
      <w:r>
        <w:rPr/>
        <w:t>More than 1,500 public agencies and private employers were surveyed by THAP! (Total Health Advocacy Partners), The California Public Employees' Retirement Systems (CalPERS), and Andersen.</w:t>
      </w:r>
    </w:p>
    <w:p>
      <w:pPr>
        <w:pStyle w:val="Header"/>
        <w:jc w:val="both"/>
        <w:rPr/>
      </w:pPr>
      <w:r>
        <w:rPr/>
      </w:r>
    </w:p>
    <w:p>
      <w:pPr>
        <w:pStyle w:val="Header"/>
        <w:tabs>
          <w:tab w:val="clear" w:pos="4320"/>
          <w:tab w:val="clear" w:pos="8640"/>
        </w:tabs>
        <w:jc w:val="both"/>
        <w:rPr/>
      </w:pPr>
      <w:r>
        <w:rPr/>
        <w:t>The survey found that rising health care costs topped the list of employer concerns, with 96% of public agencies and 90% of private employers saying that their general health care costs have risen considerably in the past year.</w:t>
      </w:r>
    </w:p>
    <w:p>
      <w:pPr>
        <w:pStyle w:val="Header"/>
        <w:tabs>
          <w:tab w:val="clear" w:pos="4320"/>
          <w:tab w:val="clear" w:pos="8640"/>
        </w:tabs>
        <w:jc w:val="both"/>
        <w:rPr>
          <w:b/>
          <w:bCs/>
          <w:sz w:val="22"/>
          <w:u w:val="single"/>
        </w:rPr>
      </w:pPr>
      <w:r>
        <w:rPr>
          <w:b/>
          <w:bCs/>
          <w:sz w:val="22"/>
          <w:u w:val="single"/>
        </w:rPr>
      </w:r>
    </w:p>
    <w:p>
      <w:pPr>
        <w:pStyle w:val="Header"/>
        <w:tabs>
          <w:tab w:val="clear" w:pos="4320"/>
          <w:tab w:val="clear" w:pos="8640"/>
        </w:tabs>
        <w:jc w:val="both"/>
        <w:rPr>
          <w:b/>
          <w:bCs/>
          <w:sz w:val="22"/>
          <w:u w:val="single"/>
        </w:rPr>
      </w:pPr>
      <w:r>
        <w:rPr>
          <w:b/>
          <w:bCs/>
          <w:sz w:val="22"/>
          <w:u w:val="single"/>
        </w:rPr>
      </w:r>
    </w:p>
    <w:p>
      <w:pPr>
        <w:pStyle w:val="Header"/>
        <w:tabs>
          <w:tab w:val="clear" w:pos="4320"/>
          <w:tab w:val="clear" w:pos="8640"/>
        </w:tabs>
        <w:jc w:val="both"/>
        <w:rPr>
          <w:b/>
          <w:bCs/>
          <w:shadow/>
          <w:u w:val="single"/>
        </w:rPr>
      </w:pPr>
      <w:r>
        <w:rPr>
          <w:b/>
          <w:bCs/>
          <w:shadow/>
          <w:u w:val="single"/>
        </w:rPr>
        <w:t>Ford to Target Company Spending Next</w:t>
      </w:r>
    </w:p>
    <w:p>
      <w:pPr>
        <w:pStyle w:val="Normal"/>
        <w:jc w:val="both"/>
        <w:rPr/>
      </w:pPr>
      <w:r>
        <w:rPr/>
        <w:t xml:space="preserve">Ford Motor Co., besides cutting white-collar jobs and executive bonuses, is clamping down on other expenses, from travel to training to paper clips. </w:t>
      </w:r>
    </w:p>
    <w:p>
      <w:pPr>
        <w:pStyle w:val="Normal"/>
        <w:jc w:val="both"/>
        <w:rPr/>
      </w:pPr>
      <w:r>
        <w:rPr/>
        <w:br/>
        <w:t xml:space="preserve">Faced with declining market share and profit margins and a $ 3-billion charge to replace Firestone tires on some of its vehicles, the world's second-largest automaker is looking to cut costs and shed excess production capacity. </w:t>
        <w:br/>
        <w:br/>
        <w:t>So the company has halted overtime work by white-collar employees until further notice, trimmed travel budgets, restricted some training classes and frozen orders for new supplies.</w:t>
      </w:r>
    </w:p>
    <w:p>
      <w:pPr>
        <w:pStyle w:val="Header"/>
        <w:tabs>
          <w:tab w:val="clear" w:pos="4320"/>
          <w:tab w:val="clear" w:pos="8640"/>
        </w:tabs>
        <w:jc w:val="both"/>
        <w:rPr>
          <w:color w:val="000080"/>
        </w:rPr>
      </w:pPr>
      <w:r>
        <w:rPr>
          <w:color w:val="000080"/>
        </w:rPr>
      </w:r>
    </w:p>
    <w:p>
      <w:pPr>
        <w:pStyle w:val="Normal"/>
        <w:ind w:end="-360"/>
        <w:jc w:val="both"/>
        <w:rPr/>
      </w:pPr>
      <w:r>
        <w:rPr/>
        <w:t xml:space="preserve">Ford has promised a broad restructuring plan by the end of the year, which could come as soon as November. Chief executive officer Jacques Nasser told the Wall Street Journal that the company will complete an internal review of its global operations by the end of October. </w:t>
      </w:r>
    </w:p>
    <w:p>
      <w:pPr>
        <w:pStyle w:val="Normal"/>
        <w:ind w:end="-360"/>
        <w:jc w:val="both"/>
        <w:rPr/>
      </w:pPr>
      <w:r>
        <w:rPr/>
        <w:br/>
        <w:t xml:space="preserve">In the meantime, the Dearborn automaker, like its rivals General Motors Corp. and DaimlerChrysler AG, is keeping a lid on office expenses. </w:t>
      </w:r>
    </w:p>
    <w:p>
      <w:pPr>
        <w:pStyle w:val="Normal"/>
        <w:ind w:end="-360"/>
        <w:jc w:val="both"/>
        <w:rPr/>
      </w:pPr>
      <w:r>
        <w:rPr/>
        <w:br/>
        <w:t xml:space="preserve">Low-level managers said they have recently been told once again that they and their staffs are prohibited from working overtime until further notice. </w:t>
      </w:r>
    </w:p>
    <w:p>
      <w:pPr>
        <w:pStyle w:val="Normal"/>
        <w:ind w:end="-360"/>
        <w:jc w:val="both"/>
        <w:rPr/>
      </w:pPr>
      <w:r>
        <w:rPr/>
        <w:br/>
        <w:t xml:space="preserve">Travel has been more closely scrutinized during the last couple of months, requiring supervisor approval that might not have been required before, they said. </w:t>
      </w:r>
    </w:p>
    <w:p>
      <w:pPr>
        <w:pStyle w:val="Normal"/>
        <w:ind w:end="-360"/>
        <w:jc w:val="both"/>
        <w:rPr/>
      </w:pPr>
      <w:r>
        <w:rPr/>
        <w:br/>
        <w:t>Office supplies are being watched more closely, with purchases frozen for the next three months, they said, including new computers</w:t>
      </w:r>
    </w:p>
    <w:p>
      <w:pPr>
        <w:pStyle w:val="Normal"/>
        <w:ind w:end="-360"/>
        <w:jc w:val="both"/>
        <w:rPr/>
      </w:pPr>
      <w:r>
        <w:rPr>
          <w:rFonts w:eastAsia="Tahoma"/>
        </w:rPr>
        <w:t xml:space="preserve"> </w:t>
      </w:r>
      <w:r>
        <w:rPr/>
        <w:br/>
        <w:t>And the company's training budget has also been trimmed. Spending on personal-development classes, such as foreign language or public-speaking, has been cut in half for the rest of the year, said spokeswoman Anne Marie Gattari. But other courses that focus on improving the company's operations, such as lean manufacturing, are fully funded, she said.</w:t>
      </w:r>
    </w:p>
    <w:p>
      <w:pPr>
        <w:pStyle w:val="Normal"/>
        <w:ind w:end="-360"/>
        <w:jc w:val="both"/>
        <w:rPr/>
      </w:pPr>
      <w:r>
        <w:rPr/>
      </w:r>
    </w:p>
    <w:p>
      <w:pPr>
        <w:pStyle w:val="Normal"/>
        <w:ind w:end="-360"/>
        <w:jc w:val="both"/>
        <w:rPr/>
      </w:pPr>
      <w:r>
        <w:rPr/>
        <w:t>Earlier this month, Ford announced it will offer early-retirement packages and other buyouts to eliminate 4,000 to 5,000 white-collar jobs. Then it told employees that the top 6,000 executives would not receive bonuses for this year's performance.</w:t>
      </w:r>
    </w:p>
    <w:p>
      <w:pPr>
        <w:pStyle w:val="Normal"/>
        <w:ind w:end="-360"/>
        <w:jc w:val="both"/>
        <w:rPr>
          <w:b/>
          <w:bCs/>
          <w:shadow/>
          <w:sz w:val="22"/>
          <w:u w:val="single"/>
        </w:rPr>
      </w:pPr>
      <w:r>
        <w:rPr/>
        <w:br/>
      </w:r>
    </w:p>
    <w:p>
      <w:pPr>
        <w:pStyle w:val="Heading5"/>
        <w:ind w:hanging="0" w:start="0"/>
        <w:jc w:val="both"/>
        <w:rPr>
          <w:b w:val="false"/>
          <w:bCs w:val="false"/>
          <w:shadow/>
          <w:sz w:val="18"/>
          <w:u w:val="single"/>
        </w:rPr>
      </w:pPr>
      <w:r>
        <w:rPr>
          <w:b w:val="false"/>
          <w:bCs w:val="false"/>
          <w:shadow/>
          <w:sz w:val="18"/>
          <w:u w:val="single"/>
        </w:rPr>
      </w:r>
    </w:p>
    <w:p>
      <w:pPr>
        <w:pStyle w:val="Heading5"/>
        <w:ind w:hanging="0" w:start="0"/>
        <w:rPr>
          <w:shadow/>
        </w:rPr>
      </w:pPr>
      <w:r>
        <w:rPr>
          <w:shadow/>
        </w:rPr>
        <w:t>Workplace Issues</w:t>
      </w:r>
    </w:p>
    <w:p>
      <w:pPr>
        <w:pStyle w:val="Normal"/>
        <w:jc w:val="both"/>
        <w:rPr>
          <w:rFonts w:ascii="Arial" w:hAnsi="Arial" w:cs="Arial"/>
          <w:shadow/>
          <w:color w:val="003399"/>
        </w:rPr>
      </w:pPr>
      <w:r>
        <w:rPr>
          <w:rFonts w:cs="Arial" w:ascii="Arial" w:hAnsi="Arial"/>
          <w:shadow/>
          <w:color w:val="003399"/>
        </w:rPr>
      </w:r>
    </w:p>
    <w:p>
      <w:pPr>
        <w:pStyle w:val="Heading4"/>
        <w:ind w:hanging="0" w:start="0"/>
        <w:rPr>
          <w:shadow/>
        </w:rPr>
      </w:pPr>
      <w:r>
        <w:rPr>
          <w:shadow/>
        </w:rPr>
        <w:t xml:space="preserve">Workplace Issues Astir As Washington Resumes </w:t>
      </w:r>
    </w:p>
    <w:p>
      <w:pPr>
        <w:pStyle w:val="BodyText2"/>
        <w:autoSpaceDE w:val="true"/>
        <w:rPr>
          <w:szCs w:val="20"/>
        </w:rPr>
      </w:pPr>
      <w:r>
        <w:rPr>
          <w:szCs w:val="20"/>
        </w:rPr>
        <w:t>As Congress and President George W. Bush resume work after their August vacations, industry lobbyists are girding for activity during the next few weeks on three issues of prime importance to manufacturers:  </w:t>
        <w:br/>
        <w:t> </w:t>
      </w:r>
    </w:p>
    <w:p>
      <w:pPr>
        <w:pStyle w:val="Normal"/>
        <w:numPr>
          <w:ilvl w:val="0"/>
          <w:numId w:val="3"/>
        </w:numPr>
        <w:jc w:val="both"/>
        <w:rPr>
          <w:szCs w:val="20"/>
        </w:rPr>
      </w:pPr>
      <w:r>
        <w:rPr>
          <w:szCs w:val="20"/>
        </w:rPr>
        <w:t>Immigration. Lobbyists are hoping that talks this week between Mr. Bush and Mexico President Vicente Fox Quesada will lead to Administration-backed legislation that would increase the number of workers who legally could enter the U.S. Employers eagerly want such a measure to combat broad-based worker shortages that persist despite the economic slowdown.</w:t>
      </w:r>
    </w:p>
    <w:p>
      <w:pPr>
        <w:pStyle w:val="Normal"/>
        <w:ind w:firstLine="180" w:end="0"/>
        <w:jc w:val="both"/>
        <w:rPr>
          <w:szCs w:val="20"/>
        </w:rPr>
      </w:pPr>
      <w:r>
        <w:rPr>
          <w:szCs w:val="20"/>
        </w:rPr>
      </w:r>
    </w:p>
    <w:p>
      <w:pPr>
        <w:pStyle w:val="Normal"/>
        <w:numPr>
          <w:ilvl w:val="0"/>
          <w:numId w:val="3"/>
        </w:numPr>
        <w:jc w:val="both"/>
        <w:rPr>
          <w:szCs w:val="20"/>
        </w:rPr>
      </w:pPr>
      <w:r>
        <w:rPr>
          <w:szCs w:val="20"/>
        </w:rPr>
        <w:t>Health-care reform. A much-anticipated conference committee, slow to get underway, is due to begin meeting soon to address differences in House and Senate bills. The business community is ready to wage all-out war to prevent a final measure -- reflected most strongly in the Senate version -- that would expand liability of employers who offer voluntary health-care plans.</w:t>
      </w:r>
    </w:p>
    <w:p>
      <w:pPr>
        <w:pStyle w:val="BodyText2"/>
        <w:autoSpaceDE w:val="true"/>
        <w:rPr>
          <w:szCs w:val="20"/>
        </w:rPr>
      </w:pPr>
      <w:r>
        <w:rPr>
          <w:szCs w:val="20"/>
        </w:rPr>
        <w:t> </w:t>
      </w:r>
    </w:p>
    <w:p>
      <w:pPr>
        <w:pStyle w:val="Normal"/>
        <w:numPr>
          <w:ilvl w:val="0"/>
          <w:numId w:val="3"/>
        </w:numPr>
        <w:jc w:val="both"/>
        <w:rPr>
          <w:b/>
          <w:bCs/>
          <w:shadow/>
          <w:u w:val="single"/>
        </w:rPr>
      </w:pPr>
      <w:r>
        <w:rPr>
          <w:szCs w:val="20"/>
        </w:rPr>
        <w:t>Minimum wage. In late September Sen. Edward Kennedy (D, Mass.), chairman of the Senate Labor Committee, is expected to bring up legislation calling for a $1.50-an-hour boost. Business will work with Republicans in shaping a countermeasure.</w:t>
      </w:r>
    </w:p>
    <w:p>
      <w:pPr>
        <w:pStyle w:val="BodyText2"/>
        <w:autoSpaceDE w:val="true"/>
        <w:rPr>
          <w:b/>
          <w:bCs/>
          <w:shadow/>
          <w:szCs w:val="20"/>
          <w:u w:val="single"/>
        </w:rPr>
      </w:pPr>
      <w:r>
        <w:rPr>
          <w:rFonts w:eastAsia="Tahoma"/>
          <w:szCs w:val="20"/>
        </w:rPr>
        <w:t xml:space="preserve"> </w:t>
      </w:r>
      <w:r>
        <w:rPr>
          <w:szCs w:val="20"/>
        </w:rPr>
        <w:t>  </w:t>
      </w:r>
      <w:r>
        <w:rPr>
          <w:szCs w:val="20"/>
        </w:rPr>
        <w:br/>
        <w:t>Other battles loom -- especially over Senate legislation that would force the Labor Dept. to issue a new ergonomics regulation, expand the Family &amp; Medical Leave Act, and ease labor organizing under the National Labor Relations Act. Yet, despite the bevy of activity, "no one is proposing anything radical," observes Randel Johnson, labor-policy vice president at the U.S. Chamber of Commerce. "The arguments," he says, "are between the 45-yard lines."</w:t>
      </w:r>
    </w:p>
    <w:p>
      <w:pPr>
        <w:pStyle w:val="BodyText2"/>
        <w:autoSpaceDE w:val="true"/>
        <w:rPr>
          <w:b/>
          <w:bCs/>
          <w:shadow/>
          <w:u w:val="single"/>
        </w:rPr>
      </w:pPr>
      <w:r>
        <w:rPr>
          <w:rFonts w:eastAsia="Tahoma"/>
        </w:rPr>
        <w:t xml:space="preserve"> </w:t>
      </w:r>
      <w:r>
        <w:rPr/>
        <w:t> </w:t>
      </w:r>
      <w:r>
        <w:rPr/>
        <w:br/>
      </w:r>
    </w:p>
    <w:p>
      <w:pPr>
        <w:pStyle w:val="Normal"/>
        <w:jc w:val="both"/>
        <w:rPr>
          <w:b/>
          <w:bCs/>
          <w:szCs w:val="27"/>
          <w:u w:val="single"/>
        </w:rPr>
      </w:pPr>
      <w:r>
        <w:rPr>
          <w:b/>
          <w:bCs/>
          <w:shadow/>
          <w:szCs w:val="27"/>
          <w:u w:val="single"/>
        </w:rPr>
        <w:t>Employee Loyalty to Employers Declining, Along With Job Performance, Survey Finds</w:t>
      </w:r>
    </w:p>
    <w:p>
      <w:pPr>
        <w:pStyle w:val="BodyText2"/>
        <w:autoSpaceDE w:val="true"/>
        <w:rPr/>
      </w:pPr>
      <w:r>
        <w:rPr/>
        <w:t xml:space="preserve">Only one-fourth of U.S. employees employees are committed to their employers and plan to stay for at least two years, and only about half of all workers would recommend their company to others looking for a job, according to a survey released Sept. 3 by Walker Information. </w:t>
      </w:r>
    </w:p>
    <w:p>
      <w:pPr>
        <w:pStyle w:val="Normal"/>
        <w:jc w:val="both"/>
        <w:rPr/>
      </w:pPr>
      <w:r>
        <w:rPr/>
      </w:r>
    </w:p>
    <w:p>
      <w:pPr>
        <w:pStyle w:val="Normal"/>
        <w:jc w:val="both"/>
        <w:rPr/>
      </w:pPr>
      <w:r>
        <w:rPr/>
        <w:t xml:space="preserve">This low incidence of commitment can be a "silent profit killer," according to the Indianapolis-based market research firm. </w:t>
      </w:r>
    </w:p>
    <w:p>
      <w:pPr>
        <w:pStyle w:val="Normal"/>
        <w:jc w:val="both"/>
        <w:rPr/>
      </w:pPr>
      <w:r>
        <w:rPr/>
      </w:r>
    </w:p>
    <w:p>
      <w:pPr>
        <w:pStyle w:val="Normal"/>
        <w:jc w:val="both"/>
        <w:rPr/>
      </w:pPr>
      <w:r>
        <w:rPr/>
        <w:t>"There's no doubt that there's a connection between an employee's level of commitment to a company and his or her job performance," Marc Drizin, vice president for Walker, said in a statement. "Looking even deeper in this study, our research shows that low levels of employee loyalty and retention ultimately affect a company's relationships with its customers and ... the bottomline."</w:t>
      </w:r>
    </w:p>
    <w:p>
      <w:pPr>
        <w:pStyle w:val="Normal"/>
        <w:jc w:val="both"/>
        <w:rPr>
          <w:sz w:val="6"/>
        </w:rPr>
      </w:pPr>
      <w:r>
        <w:rPr>
          <w:sz w:val="6"/>
        </w:rPr>
      </w:r>
    </w:p>
    <w:p>
      <w:pPr>
        <w:pStyle w:val="Normal"/>
        <w:ind w:end="-360"/>
        <w:jc w:val="both"/>
        <w:rPr>
          <w:b/>
          <w:bCs/>
          <w:u w:val="single"/>
        </w:rPr>
      </w:pPr>
      <w:hyperlink r:id="rId14">
        <w:r>
          <w:rPr>
            <w:rStyle w:val="Hyperlink"/>
          </w:rPr>
          <w:t>Link to Article</w:t>
        </w:r>
      </w:hyperlink>
    </w:p>
    <w:p>
      <w:pPr>
        <w:pStyle w:val="Normal"/>
        <w:ind w:end="-360"/>
        <w:jc w:val="both"/>
        <w:rPr>
          <w:b/>
          <w:bCs/>
          <w:sz w:val="24"/>
          <w:u w:val="single"/>
        </w:rPr>
      </w:pPr>
      <w:r>
        <w:rPr>
          <w:b/>
          <w:bCs/>
          <w:sz w:val="24"/>
          <w:u w:val="single"/>
        </w:rPr>
      </w:r>
    </w:p>
    <w:p>
      <w:pPr>
        <w:pStyle w:val="Normal"/>
        <w:ind w:end="-360"/>
        <w:jc w:val="center"/>
        <w:rPr>
          <w:b/>
          <w:bCs/>
          <w:shadow/>
          <w:sz w:val="22"/>
          <w:u w:val="single"/>
        </w:rPr>
      </w:pPr>
      <w:r>
        <w:rPr>
          <w:b/>
          <w:bCs/>
          <w:shadow/>
          <w:sz w:val="22"/>
          <w:u w:val="single"/>
        </w:rPr>
        <w:t>Stock Options</w:t>
      </w:r>
    </w:p>
    <w:p>
      <w:pPr>
        <w:pStyle w:val="Normal"/>
        <w:ind w:end="-360"/>
        <w:jc w:val="center"/>
        <w:rPr>
          <w:b/>
          <w:bCs/>
          <w:shadow/>
          <w:sz w:val="22"/>
          <w:u w:val="single"/>
        </w:rPr>
      </w:pPr>
      <w:r>
        <w:rPr>
          <w:b/>
          <w:bCs/>
          <w:shadow/>
          <w:sz w:val="22"/>
          <w:u w:val="single"/>
        </w:rPr>
      </w:r>
    </w:p>
    <w:p>
      <w:pPr>
        <w:pStyle w:val="Normal"/>
        <w:ind w:end="-360"/>
        <w:jc w:val="both"/>
        <w:rPr>
          <w:b/>
          <w:bCs/>
          <w:shadow/>
          <w:u w:val="single"/>
        </w:rPr>
      </w:pPr>
      <w:r>
        <w:rPr>
          <w:b/>
          <w:bCs/>
          <w:shadow/>
          <w:u w:val="single"/>
        </w:rPr>
        <w:t>Bills Clarify Stock Option Tax Obligations</w:t>
      </w:r>
    </w:p>
    <w:p>
      <w:pPr>
        <w:pStyle w:val="Normal"/>
        <w:ind w:end="-360"/>
        <w:jc w:val="both"/>
        <w:rPr/>
      </w:pPr>
      <w:r>
        <w:rPr/>
        <w:t>Legislation was introduced earlier this month in both the Senate and the House that clarifies that payroll tax obligations shouldn't be imposed when employees exercise stock options under incentive stock option or employee stock purchasing plan programs, according to news from the American Benefits Council (ABC).</w:t>
      </w:r>
    </w:p>
    <w:p>
      <w:pPr>
        <w:pStyle w:val="Normal"/>
        <w:ind w:end="-360"/>
        <w:jc w:val="both"/>
        <w:rPr/>
      </w:pPr>
      <w:r>
        <w:rPr/>
      </w:r>
    </w:p>
    <w:p>
      <w:pPr>
        <w:pStyle w:val="Normal"/>
        <w:ind w:end="-360"/>
        <w:jc w:val="both"/>
        <w:rPr/>
      </w:pPr>
      <w:r>
        <w:rPr/>
        <w:t>The House bill (H.R. 2695) is sponsored by Rep. Amo Houghton (R-NY) and the Senate bill (S. 1383) is sponsored by Sen. Hillary Clinton (D-NY) and co-sponsored by Sen. Pat Roberts (R-KS).</w:t>
      </w:r>
    </w:p>
    <w:p>
      <w:pPr>
        <w:pStyle w:val="Normal"/>
        <w:ind w:end="-360"/>
        <w:jc w:val="both"/>
        <w:rPr/>
      </w:pPr>
      <w:r>
        <w:rPr/>
      </w:r>
    </w:p>
    <w:p>
      <w:pPr>
        <w:pStyle w:val="Normal"/>
        <w:ind w:end="-360"/>
        <w:jc w:val="both"/>
        <w:rPr/>
      </w:pPr>
      <w:r>
        <w:rPr/>
        <w:t>This legislation was proposed, ABC reported, after IRS Notice 2001-14, which exempted these statutory stock options from tax withholding and payroll taxes through 2002, but revealed that payroll tax obligations may be imposed in 2003.</w:t>
      </w:r>
    </w:p>
    <w:p>
      <w:pPr>
        <w:pStyle w:val="Normal"/>
        <w:ind w:end="-360"/>
        <w:jc w:val="both"/>
        <w:rPr>
          <w:b/>
          <w:bCs/>
          <w:sz w:val="18"/>
          <w:u w:val="single"/>
        </w:rPr>
      </w:pPr>
      <w:r>
        <w:rPr>
          <w:b/>
          <w:bCs/>
          <w:sz w:val="18"/>
          <w:u w:val="single"/>
        </w:rPr>
      </w:r>
    </w:p>
    <w:p>
      <w:pPr>
        <w:pStyle w:val="Normal"/>
        <w:ind w:end="-360"/>
        <w:jc w:val="both"/>
        <w:rPr>
          <w:b/>
          <w:bCs/>
          <w:u w:val="single"/>
        </w:rPr>
      </w:pPr>
      <w:r>
        <w:rPr>
          <w:b/>
          <w:bCs/>
          <w:u w:val="single"/>
        </w:rPr>
        <w:t>Board Seeks to Converge Accounting Standards for Stock Options</w:t>
      </w:r>
    </w:p>
    <w:p>
      <w:pPr>
        <w:pStyle w:val="Normal"/>
        <w:ind w:end="-360"/>
        <w:jc w:val="both"/>
        <w:rPr/>
      </w:pPr>
      <w:r>
        <w:rPr/>
        <w:t>The International Accounting Standards Board (IASB) has announced its agenda of nine technical projects, according to an alert letter from Frederic W. Cook &amp; Co., Inc.</w:t>
      </w:r>
    </w:p>
    <w:p>
      <w:pPr>
        <w:pStyle w:val="Normal"/>
        <w:ind w:end="-360"/>
        <w:jc w:val="both"/>
        <w:rPr/>
      </w:pPr>
      <w:r>
        <w:rPr/>
      </w:r>
    </w:p>
    <w:p>
      <w:pPr>
        <w:pStyle w:val="Normal"/>
        <w:ind w:end="-360"/>
        <w:jc w:val="both"/>
        <w:rPr/>
      </w:pPr>
      <w:r>
        <w:rPr/>
        <w:t>Included in IASB's leadership projects is a review of stock options and other equity grant accounting, which it calls "Accounting for Share-Based Payments."</w:t>
      </w:r>
    </w:p>
    <w:p>
      <w:pPr>
        <w:pStyle w:val="Normal"/>
        <w:ind w:end="-360"/>
        <w:jc w:val="both"/>
        <w:rPr/>
      </w:pPr>
      <w:r>
        <w:rPr/>
      </w:r>
    </w:p>
    <w:p>
      <w:pPr>
        <w:pStyle w:val="Normal"/>
        <w:ind w:end="-360"/>
        <w:jc w:val="both"/>
        <w:rPr/>
      </w:pPr>
      <w:r>
        <w:rPr/>
        <w:t>With respect to stock option accounting, IASB has said, "Share-based compensation plans are becoming more prevalent worldwide. Few countries have standards for recognition and measurement of share-based payment and many believe that those standards that do exist are inadequate or outdated. The IASB has the opportunity to provide leadership for convergence. This project will seek to develop a standard on all aspects of accounting for share-based payments to employees (including employee stock options and their repricing), suppliers, creditors and others."</w:t>
      </w:r>
    </w:p>
    <w:p>
      <w:pPr>
        <w:pStyle w:val="Normal"/>
        <w:ind w:end="-360"/>
        <w:jc w:val="both"/>
        <w:rPr/>
      </w:pPr>
      <w:r>
        <w:rPr/>
      </w:r>
    </w:p>
    <w:p>
      <w:pPr>
        <w:pStyle w:val="Normal"/>
        <w:ind w:end="-360"/>
        <w:jc w:val="both"/>
        <w:rPr/>
      </w:pPr>
      <w:r>
        <w:rPr/>
        <w:t>The IASB's decision to go ahead with the project goes against the advice of some members of its Advisory Council, notably the U.S.-based Financial Executives International, the alert letter said. Financial Executives International argued that stock option accounting under U.S. GAAP had been extensively and contentiously debated and ñ now that itís settled ñ would not easily be changed</w:t>
      </w:r>
    </w:p>
    <w:p>
      <w:pPr>
        <w:pStyle w:val="Normal"/>
        <w:ind w:end="-360"/>
        <w:jc w:val="both"/>
        <w:rPr>
          <w:sz w:val="22"/>
        </w:rPr>
      </w:pPr>
      <w:r>
        <w:rPr>
          <w:sz w:val="22"/>
        </w:rPr>
      </w:r>
    </w:p>
    <w:p>
      <w:pPr>
        <w:pStyle w:val="Normal"/>
        <w:ind w:end="-360"/>
        <w:jc w:val="center"/>
        <w:rPr>
          <w:b/>
          <w:bCs/>
          <w:shadow/>
          <w:sz w:val="22"/>
          <w:u w:val="single"/>
        </w:rPr>
      </w:pPr>
      <w:r>
        <w:rPr>
          <w:b/>
          <w:bCs/>
          <w:shadow/>
          <w:sz w:val="22"/>
          <w:u w:val="single"/>
        </w:rPr>
        <w:t>U.K. HR News</w:t>
      </w:r>
    </w:p>
    <w:p>
      <w:pPr>
        <w:pStyle w:val="Normal"/>
        <w:ind w:end="-360"/>
        <w:jc w:val="both"/>
        <w:rPr>
          <w:b/>
          <w:bCs/>
          <w:shadow/>
          <w:sz w:val="22"/>
          <w:u w:val="single"/>
        </w:rPr>
      </w:pPr>
      <w:r>
        <w:rPr>
          <w:b/>
          <w:bCs/>
          <w:shadow/>
          <w:sz w:val="22"/>
          <w:u w:val="single"/>
        </w:rPr>
      </w:r>
    </w:p>
    <w:p>
      <w:pPr>
        <w:pStyle w:val="Normal"/>
        <w:jc w:val="both"/>
        <w:rPr/>
      </w:pPr>
      <w:r>
        <w:rPr>
          <w:rStyle w:val="mainsubheader1"/>
          <w:rFonts w:cs="Tahoma"/>
          <w:shadow/>
          <w:color w:val="000000"/>
          <w:sz w:val="20"/>
          <w:szCs w:val="24"/>
          <w:u w:val="single"/>
        </w:rPr>
        <w:t>Sabbaticals for Siemens staff</w:t>
      </w:r>
      <w:r>
        <w:rPr/>
        <w:t xml:space="preserve"> </w:t>
      </w:r>
    </w:p>
    <w:p>
      <w:pPr>
        <w:pStyle w:val="Normal"/>
        <w:jc w:val="both"/>
        <w:rPr/>
      </w:pPr>
      <w:r>
        <w:rPr/>
        <w:t xml:space="preserve">Siemens is offering sabbatical leave with lower pay to employees at Information and Communication Mobile, its mobile phone subsidiary.  All 14,500 ICM staff in Germany, except those in leadership positions, can potentially take the time-outs, if their supervisors approve. </w:t>
      </w:r>
    </w:p>
    <w:p>
      <w:pPr>
        <w:pStyle w:val="Normal"/>
        <w:jc w:val="both"/>
        <w:rPr/>
      </w:pPr>
      <w:r>
        <w:rPr/>
      </w:r>
    </w:p>
    <w:p>
      <w:pPr>
        <w:pStyle w:val="Normal"/>
        <w:jc w:val="both"/>
        <w:rPr/>
      </w:pPr>
      <w:r>
        <w:rPr/>
        <w:t xml:space="preserve">The German electronics giant made the move to tackle the high-tech sector downturn without making massive job cuts, Trevor Bromelow, general manager of HR, told </w:t>
      </w:r>
      <w:r>
        <w:rPr>
          <w:i/>
          <w:iCs/>
        </w:rPr>
        <w:t>Complinet</w:t>
      </w:r>
      <w:r>
        <w:rPr/>
        <w:t xml:space="preserve">. "The policy is the creative output of negotiations with employee representatives to deal with the crisis in mobile communications." </w:t>
      </w:r>
    </w:p>
    <w:p>
      <w:pPr>
        <w:pStyle w:val="Normal"/>
        <w:jc w:val="both"/>
        <w:rPr/>
      </w:pPr>
      <w:r>
        <w:rPr/>
      </w:r>
    </w:p>
    <w:p>
      <w:pPr>
        <w:pStyle w:val="Normal"/>
        <w:jc w:val="both"/>
        <w:rPr/>
      </w:pPr>
      <w:r>
        <w:rPr/>
        <w:t xml:space="preserve">Employees can choose from a three-month holiday with a 50 per cent pay cut, a six-month break at 60 per cent, or a year long vacation at 80 per cent. UK Siemens staff will not be affected, Bromelow added. "We have no formal sabbatical policy here but assess staff applications on a case to case basis." </w:t>
      </w:r>
    </w:p>
    <w:p>
      <w:pPr>
        <w:pStyle w:val="Normal"/>
        <w:jc w:val="both"/>
        <w:rPr/>
      </w:pPr>
      <w:r>
        <w:rPr/>
      </w:r>
    </w:p>
    <w:p>
      <w:pPr>
        <w:pStyle w:val="Normal"/>
        <w:jc w:val="both"/>
        <w:rPr/>
      </w:pPr>
      <w:r>
        <w:rPr/>
        <w:t xml:space="preserve">The company told staff about the plan several weeks ago but Bromelow declined to comment on how many have applied so far. ICM is also allowing 2,600 temporary employment contracts to run out without renewal, in a further attempt to avoid full-time layoffs. </w:t>
      </w:r>
    </w:p>
    <w:p>
      <w:pPr>
        <w:pStyle w:val="Normal"/>
        <w:ind w:end="-360"/>
        <w:jc w:val="both"/>
        <w:rPr>
          <w:b/>
          <w:bCs/>
          <w:shadow/>
          <w:sz w:val="22"/>
          <w:u w:val="single"/>
        </w:rPr>
      </w:pPr>
      <w:r>
        <w:rPr>
          <w:b/>
          <w:bCs/>
          <w:shadow/>
          <w:sz w:val="22"/>
          <w:u w:val="single"/>
        </w:rPr>
      </w:r>
    </w:p>
    <w:p>
      <w:pPr>
        <w:pStyle w:val="Heading4"/>
        <w:ind w:hanging="0" w:start="0"/>
        <w:rPr>
          <w:shadow/>
          <w:szCs w:val="23"/>
        </w:rPr>
      </w:pPr>
      <w:r>
        <w:rPr>
          <w:rStyle w:val="mainsubheader1"/>
          <w:rFonts w:cs="Tahoma"/>
          <w:b/>
          <w:bCs/>
          <w:shadow/>
          <w:color w:val="000000"/>
          <w:sz w:val="20"/>
          <w:u w:val="single"/>
        </w:rPr>
        <w:t>Business services downturn stunts London jobs</w:t>
      </w:r>
    </w:p>
    <w:p>
      <w:pPr>
        <w:pStyle w:val="BodyText2"/>
        <w:autoSpaceDE w:val="true"/>
        <w:rPr/>
      </w:pPr>
      <w:r>
        <w:rPr/>
        <w:t xml:space="preserve">There will be 144,000 fewer jobs in London by the end of 2002 than there were by the end of 2000, according to a new report by the Centre for Economics and Business Research. This predicted downward trend is partly due to the poor outlook for the financial services and business services sectors. </w:t>
      </w:r>
    </w:p>
    <w:p>
      <w:pPr>
        <w:pStyle w:val="Normal"/>
        <w:rPr/>
      </w:pPr>
      <w:r>
        <w:rPr/>
      </w:r>
    </w:p>
    <w:p>
      <w:pPr>
        <w:pStyle w:val="Normal"/>
        <w:rPr/>
      </w:pPr>
      <w:r>
        <w:rPr/>
        <w:t xml:space="preserve">Growth in financial services in London is expected to fall from six per cent in 2000 to 0.7 percent in 2002. In the business services sector, which accounts for 30 per cent of London's gross domestic product and covers sectors such as IT consultancy, management consultancy and accountancy, the forecast is from 4.6 per cent to 1.6 per cent over the two years. A CEBR spokesman told </w:t>
      </w:r>
      <w:r>
        <w:rPr>
          <w:i/>
          <w:iCs/>
        </w:rPr>
        <w:t>Complinet</w:t>
      </w:r>
      <w:r>
        <w:rPr/>
        <w:t xml:space="preserve"> that people living in London currently hold 55,000 of the jobs. The remainder will be made up of jobs belonging to people who commute into the capital and those who would have migrated there under better economic conditions. </w:t>
      </w:r>
    </w:p>
    <w:p>
      <w:pPr>
        <w:pStyle w:val="Normal"/>
        <w:rPr/>
      </w:pPr>
      <w:r>
        <w:rPr/>
      </w:r>
    </w:p>
    <w:p>
      <w:pPr>
        <w:pStyle w:val="Normal"/>
        <w:rPr/>
      </w:pPr>
      <w:r>
        <w:rPr/>
        <w:t xml:space="preserve">These forecasts show the London GDP growth rate falling below the UK national rate this year for the first time since 1992 - 1.8 per cent compared with 2.1 per cent for the UK. The spokesman predicted that the economic prospects would more likely be a slowdown rather than a full-blown recession and the end of 2004 would see an upturn in growth. </w:t>
      </w:r>
    </w:p>
    <w:p>
      <w:pPr>
        <w:pStyle w:val="Normal"/>
        <w:jc w:val="center"/>
        <w:rPr>
          <w:b/>
          <w:bCs/>
          <w:shadow/>
          <w:sz w:val="18"/>
          <w:u w:val="single"/>
        </w:rPr>
      </w:pPr>
      <w:r>
        <w:rPr>
          <w:b/>
          <w:bCs/>
          <w:shadow/>
          <w:sz w:val="18"/>
          <w:u w:val="single"/>
        </w:rPr>
      </w:r>
    </w:p>
    <w:p>
      <w:pPr>
        <w:pStyle w:val="Normal"/>
        <w:jc w:val="center"/>
        <w:rPr>
          <w:rStyle w:val="mainsubheader1"/>
          <w:rFonts w:ascii="Tahoma" w:hAnsi="Tahoma" w:cs="Tahoma"/>
          <w:color w:val="000000"/>
          <w:sz w:val="22"/>
          <w:szCs w:val="24"/>
          <w:u w:val="single"/>
        </w:rPr>
      </w:pPr>
      <w:r>
        <w:rPr>
          <w:b/>
          <w:bCs/>
          <w:shadow/>
          <w:sz w:val="22"/>
          <w:u w:val="single"/>
        </w:rPr>
        <w:t>Asia HR News</w:t>
      </w:r>
    </w:p>
    <w:p>
      <w:pPr>
        <w:pStyle w:val="Normal"/>
        <w:jc w:val="center"/>
        <w:rPr>
          <w:rStyle w:val="mainsubheader1"/>
          <w:rFonts w:ascii="Tahoma" w:hAnsi="Tahoma" w:cs="Tahoma"/>
          <w:color w:val="000000"/>
          <w:sz w:val="22"/>
          <w:szCs w:val="24"/>
          <w:u w:val="single"/>
        </w:rPr>
      </w:pPr>
      <w:r>
        <w:rPr/>
      </w:r>
    </w:p>
    <w:p>
      <w:pPr>
        <w:pStyle w:val="Normal"/>
        <w:jc w:val="both"/>
        <w:rPr>
          <w:b/>
          <w:bCs/>
          <w:shadow/>
          <w:u w:val="single"/>
        </w:rPr>
      </w:pPr>
      <w:r>
        <w:rPr>
          <w:b/>
          <w:bCs/>
          <w:shadow/>
          <w:u w:val="single"/>
        </w:rPr>
        <w:t>US Slowdown Hits HK Jobs And Growth</w:t>
      </w:r>
    </w:p>
    <w:p>
      <w:pPr>
        <w:pStyle w:val="BodyText2"/>
        <w:autoSpaceDE w:val="true"/>
        <w:rPr/>
      </w:pPr>
      <w:r>
        <w:rPr/>
        <w:t>The Hong Kong economy is feeling the effects of the US slowdown, as unemployment has increased to 4.7 percent and local economists predicted second quarter GDP growth of 1.6 percent. The government reduced its growth forecast for 2001 from 4 percent to 3 percent in May, and another revision is expected. The US is one of Hong Kong's largest trading partners and the cutback in orders from US retailers has hurt exporters there.</w:t>
      </w:r>
    </w:p>
    <w:sectPr>
      <w:headerReference w:type="default" r:id="rId15"/>
      <w:headerReference w:type="first" r:id="rId16"/>
      <w:footerReference w:type="default" r:id="rId17"/>
      <w:footerReference w:type="first" r:id="rId18"/>
      <w:type w:val="nextPage"/>
      <w:pgSz w:w="12240" w:h="15840"/>
      <w:pgMar w:left="1080" w:right="1260" w:gutter="0" w:header="720" w:top="1440" w:footer="720" w:bottom="776"/>
      <w:pgBorders w:display="allPages" w:offsetFrom="page">
        <w:top w:val="single" w:sz="18" w:space="24" w:color="000000"/>
        <w:left w:val="single" w:sz="18" w:space="24" w:color="000000"/>
        <w:bottom w:val="single" w:sz="18" w:space="24" w:color="000000"/>
        <w:right w:val="single" w:sz="18" w:space="24" w:color="000000"/>
      </w:pgBorders>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11</w:t>
    </w:r>
    <w:r>
      <w:rPr/>
      <w:fldChar w:fldCharType="end"/>
    </w:r>
    <w:r>
      <w:rPr/>
      <w:t xml:space="preserve"> -</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1" w:color="000000"/>
        <w:left w:val="single" w:sz="18" w:space="4" w:color="000000"/>
        <w:bottom w:val="single" w:sz="18" w:space="1" w:color="000000"/>
        <w:right w:val="single" w:sz="18" w:space="4" w:color="000000"/>
      </w:pBdr>
      <w:ind w:end="-180"/>
      <w:rPr>
        <w:b/>
        <w:bCs/>
        <w:smallCaps/>
        <w:emboss/>
        <w:color w:val="003366"/>
        <w:sz w:val="36"/>
      </w:rPr>
    </w:pPr>
    <w:r>
      <w:rPr>
        <w:b/>
        <w:bCs/>
        <w:smallCaps/>
        <w:emboss/>
        <w:color w:val="003366"/>
        <w:sz w:val="36"/>
      </w:rPr>
      <w:tab/>
      <w:t xml:space="preserve">              Enron HR Newsletter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Wingdings" w:hAnsi="Wingdings" w:cs="Wingdings" w:hint="default"/>
        <w:sz w:val="16"/>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720"/>
        </w:tabs>
        <w:ind w:start="720" w:hanging="360"/>
      </w:pPr>
      <w:rPr>
        <w:rFonts w:ascii="Wingdings" w:hAnsi="Wingdings" w:cs="Wingdings" w:hint="default"/>
        <w:sz w:val="16"/>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720"/>
        </w:tabs>
        <w:ind w:start="720" w:hanging="360"/>
      </w:pPr>
      <w:rPr>
        <w:rFonts w:ascii="Wingdings" w:hAnsi="Wingdings" w:cs="Wingdings" w:hint="default"/>
        <w:sz w:val="16"/>
      </w:rPr>
    </w:lvl>
  </w:abstractNum>
  <w:abstractNum w:abstractNumId="6">
    <w:lvl w:ilvl="0">
      <w:start w:val="1"/>
      <w:numFmt w:val="bullet"/>
      <w:lvlText w:val=""/>
      <w:lvlJc w:val="start"/>
      <w:pPr>
        <w:tabs>
          <w:tab w:val="num" w:pos="2160"/>
        </w:tabs>
        <w:ind w:start="21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Tahoma" w:hAnsi="Tahoma" w:cs="Tahoma"/>
      <w:sz w:val="36"/>
    </w:rPr>
  </w:style>
  <w:style w:type="paragraph" w:styleId="Heading2">
    <w:name w:val="heading 2"/>
    <w:basedOn w:val="Normal"/>
    <w:next w:val="Normal"/>
    <w:qFormat/>
    <w:pPr>
      <w:keepNext w:val="true"/>
      <w:numPr>
        <w:ilvl w:val="1"/>
        <w:numId w:val="1"/>
      </w:numPr>
      <w:jc w:val="center"/>
      <w:outlineLvl w:val="1"/>
    </w:pPr>
    <w:rPr>
      <w:rFonts w:ascii="Tahoma" w:hAnsi="Tahoma" w:cs="Tahoma"/>
      <w:b/>
      <w:bCs/>
      <w:sz w:val="36"/>
    </w:rPr>
  </w:style>
  <w:style w:type="paragraph" w:styleId="Heading3">
    <w:name w:val="heading 3"/>
    <w:basedOn w:val="Normal"/>
    <w:next w:val="Normal"/>
    <w:qFormat/>
    <w:pPr>
      <w:keepNext w:val="true"/>
      <w:numPr>
        <w:ilvl w:val="2"/>
        <w:numId w:val="1"/>
      </w:numPr>
      <w:jc w:val="center"/>
      <w:outlineLvl w:val="2"/>
    </w:pPr>
    <w:rPr>
      <w:b/>
      <w:bCs/>
      <w:sz w:val="24"/>
      <w:u w:val="single"/>
    </w:rPr>
  </w:style>
  <w:style w:type="paragraph" w:styleId="Heading4">
    <w:name w:val="heading 4"/>
    <w:basedOn w:val="Normal"/>
    <w:next w:val="Normal"/>
    <w:qFormat/>
    <w:pPr>
      <w:keepNext w:val="true"/>
      <w:numPr>
        <w:ilvl w:val="3"/>
        <w:numId w:val="1"/>
      </w:numPr>
      <w:jc w:val="both"/>
      <w:outlineLvl w:val="3"/>
    </w:pPr>
    <w:rPr>
      <w:b/>
      <w:bCs/>
      <w:u w:val="single"/>
    </w:rPr>
  </w:style>
  <w:style w:type="paragraph" w:styleId="Heading5">
    <w:name w:val="heading 5"/>
    <w:basedOn w:val="Normal"/>
    <w:next w:val="Normal"/>
    <w:qFormat/>
    <w:pPr>
      <w:keepNext w:val="true"/>
      <w:numPr>
        <w:ilvl w:val="4"/>
        <w:numId w:val="1"/>
      </w:numPr>
      <w:autoSpaceDE w:val="false"/>
      <w:jc w:val="center"/>
      <w:outlineLvl w:val="4"/>
    </w:pPr>
    <w:rPr>
      <w:b/>
      <w:bCs/>
      <w:sz w:val="22"/>
      <w:u w:val="single"/>
    </w:rPr>
  </w:style>
  <w:style w:type="paragraph" w:styleId="Heading6">
    <w:name w:val="heading 6"/>
    <w:basedOn w:val="Normal"/>
    <w:next w:val="Normal"/>
    <w:qFormat/>
    <w:pPr>
      <w:keepNext w:val="true"/>
      <w:numPr>
        <w:ilvl w:val="5"/>
        <w:numId w:val="1"/>
      </w:numPr>
      <w:jc w:val="both"/>
      <w:outlineLvl w:val="5"/>
    </w:pPr>
    <w:rPr>
      <w:b/>
      <w:bCs/>
    </w:rPr>
  </w:style>
  <w:style w:type="paragraph" w:styleId="Heading7">
    <w:name w:val="heading 7"/>
    <w:basedOn w:val="Normal"/>
    <w:next w:val="Normal"/>
    <w:qFormat/>
    <w:pPr>
      <w:keepNext w:val="true"/>
      <w:numPr>
        <w:ilvl w:val="6"/>
        <w:numId w:val="1"/>
      </w:numPr>
      <w:outlineLvl w:val="6"/>
    </w:pPr>
    <w:rPr>
      <w:b/>
      <w:bCs/>
    </w:rPr>
  </w:style>
  <w:style w:type="paragraph" w:styleId="Heading8">
    <w:name w:val="heading 8"/>
    <w:basedOn w:val="Normal"/>
    <w:next w:val="Normal"/>
    <w:qFormat/>
    <w:pPr>
      <w:keepNext w:val="true"/>
      <w:numPr>
        <w:ilvl w:val="7"/>
        <w:numId w:val="1"/>
      </w:numPr>
      <w:outlineLvl w:val="7"/>
    </w:pPr>
    <w:rPr>
      <w:b/>
      <w:bCs/>
      <w:sz w:val="18"/>
    </w:rPr>
  </w:style>
  <w:style w:type="paragraph" w:styleId="Heading9">
    <w:name w:val="heading 9"/>
    <w:basedOn w:val="Normal"/>
    <w:next w:val="Normal"/>
    <w:qFormat/>
    <w:pPr>
      <w:keepNext w:val="true"/>
      <w:numPr>
        <w:ilvl w:val="8"/>
        <w:numId w:val="1"/>
      </w:numPr>
      <w:outlineLvl w:val="8"/>
    </w:pPr>
    <w:rPr>
      <w:b/>
      <w:bCs/>
      <w:color w:val="FFFFFF"/>
      <w:sz w:val="24"/>
      <w:szCs w:val="20"/>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1">
    <w:name w:val="WW8Num23z1"/>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sz w:val="20"/>
    </w:rPr>
  </w:style>
  <w:style w:type="character" w:styleId="WW8Num39z1">
    <w:name w:val="WW8Num39z1"/>
    <w:qFormat/>
    <w:rPr>
      <w:rFonts w:ascii="Courier New" w:hAnsi="Courier New" w:cs="Courier New"/>
      <w:sz w:val="20"/>
    </w:rPr>
  </w:style>
  <w:style w:type="character" w:styleId="WW8Num39z2">
    <w:name w:val="WW8Num39z2"/>
    <w:qFormat/>
    <w:rPr>
      <w:rFonts w:ascii="Wingdings" w:hAnsi="Wingdings" w:cs="Wingdings"/>
      <w:sz w:val="20"/>
    </w:rPr>
  </w:style>
  <w:style w:type="character" w:styleId="WW8Num40z0">
    <w:name w:val="WW8Num40z0"/>
    <w:qFormat/>
    <w:rPr>
      <w:rFonts w:ascii="Wingdings" w:hAnsi="Wingdings" w:cs="Wingdings"/>
      <w:sz w:val="16"/>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sz w:val="20"/>
    </w:rPr>
  </w:style>
  <w:style w:type="character" w:styleId="WW8Num42z1">
    <w:name w:val="WW8Num42z1"/>
    <w:qFormat/>
    <w:rPr>
      <w:rFonts w:ascii="Courier New" w:hAnsi="Courier New" w:cs="Courier New"/>
      <w:sz w:val="20"/>
    </w:rPr>
  </w:style>
  <w:style w:type="character" w:styleId="WW8Num42z2">
    <w:name w:val="WW8Num42z2"/>
    <w:qFormat/>
    <w:rPr>
      <w:rFonts w:ascii="Wingdings" w:hAnsi="Wingdings" w:cs="Wingdings"/>
      <w:sz w:val="20"/>
    </w:rPr>
  </w:style>
  <w:style w:type="character" w:styleId="WW8Num43z0">
    <w:name w:val="WW8Num43z0"/>
    <w:qFormat/>
    <w:rPr>
      <w:rFonts w:ascii="Wingdings" w:hAnsi="Wingdings" w:cs="Wingdings"/>
      <w:sz w:val="16"/>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sz w:val="20"/>
    </w:rPr>
  </w:style>
  <w:style w:type="character" w:styleId="WW8Num47z1">
    <w:name w:val="WW8Num47z1"/>
    <w:qFormat/>
    <w:rPr>
      <w:rFonts w:ascii="Courier New" w:hAnsi="Courier New" w:cs="Courier New"/>
      <w:sz w:val="20"/>
    </w:rPr>
  </w:style>
  <w:style w:type="character" w:styleId="WW8Num47z2">
    <w:name w:val="WW8Num47z2"/>
    <w:qFormat/>
    <w:rPr>
      <w:rFonts w:ascii="Wingdings" w:hAnsi="Wingdings" w:cs="Wingdings"/>
      <w:sz w:val="20"/>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Symbol" w:hAnsi="Symbol" w:cs="Symbol"/>
      <w:sz w:val="20"/>
    </w:rPr>
  </w:style>
  <w:style w:type="character" w:styleId="WW8Num50z1">
    <w:name w:val="WW8Num50z1"/>
    <w:qFormat/>
    <w:rPr>
      <w:rFonts w:ascii="Courier New" w:hAnsi="Courier New" w:cs="Courier New"/>
      <w:sz w:val="20"/>
    </w:rPr>
  </w:style>
  <w:style w:type="character" w:styleId="WW8Num50z2">
    <w:name w:val="WW8Num50z2"/>
    <w:qFormat/>
    <w:rPr>
      <w:rFonts w:ascii="Wingdings" w:hAnsi="Wingdings" w:cs="Wingdings"/>
      <w:sz w:val="20"/>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sz w:val="20"/>
    </w:rPr>
  </w:style>
  <w:style w:type="character" w:styleId="WW8Num52z1">
    <w:name w:val="WW8Num52z1"/>
    <w:qFormat/>
    <w:rPr>
      <w:rFonts w:ascii="Courier New" w:hAnsi="Courier New" w:cs="Courier New"/>
      <w:sz w:val="20"/>
    </w:rPr>
  </w:style>
  <w:style w:type="character" w:styleId="WW8Num52z2">
    <w:name w:val="WW8Num52z2"/>
    <w:qFormat/>
    <w:rPr>
      <w:rFonts w:ascii="Wingdings" w:hAnsi="Wingdings" w:cs="Wingdings"/>
      <w:sz w:val="20"/>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sz w:val="20"/>
    </w:rPr>
  </w:style>
  <w:style w:type="character" w:styleId="WW8Num54z1">
    <w:name w:val="WW8Num54z1"/>
    <w:qFormat/>
    <w:rPr>
      <w:rFonts w:ascii="Courier New" w:hAnsi="Courier New" w:cs="Courier New"/>
      <w:sz w:val="20"/>
    </w:rPr>
  </w:style>
  <w:style w:type="character" w:styleId="WW8Num54z2">
    <w:name w:val="WW8Num54z2"/>
    <w:qFormat/>
    <w:rPr>
      <w:rFonts w:ascii="Wingdings" w:hAnsi="Wingdings" w:cs="Wingdings"/>
      <w:sz w:val="20"/>
    </w:rPr>
  </w:style>
  <w:style w:type="character" w:styleId="WW8Num56z0">
    <w:name w:val="WW8Num56z0"/>
    <w:qFormat/>
    <w:rPr>
      <w:rFonts w:ascii="Wingdings" w:hAnsi="Wingdings" w:cs="Wingdings"/>
      <w:sz w:val="16"/>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Wingdings" w:hAnsi="Wingdings" w:cs="Wingdings"/>
    </w:rPr>
  </w:style>
  <w:style w:type="character" w:styleId="WW8Num58z1">
    <w:name w:val="WW8Num58z1"/>
    <w:qFormat/>
    <w:rPr>
      <w:rFonts w:ascii="Courier New" w:hAnsi="Courier New" w:cs="Courier New"/>
    </w:rPr>
  </w:style>
  <w:style w:type="character" w:styleId="WW8Num58z3">
    <w:name w:val="WW8Num58z3"/>
    <w:qFormat/>
    <w:rPr>
      <w:rFonts w:ascii="Symbol" w:hAnsi="Symbol" w:cs="Symbol"/>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Wingdings" w:hAnsi="Wingdings" w:cs="Wingdings"/>
    </w:rPr>
  </w:style>
  <w:style w:type="character" w:styleId="WW8Num61z1">
    <w:name w:val="WW8Num61z1"/>
    <w:qFormat/>
    <w:rPr>
      <w:rFonts w:ascii="Courier New" w:hAnsi="Courier New" w:cs="Courier New"/>
    </w:rPr>
  </w:style>
  <w:style w:type="character" w:styleId="WW8Num61z3">
    <w:name w:val="WW8Num61z3"/>
    <w:qFormat/>
    <w:rPr>
      <w:rFonts w:ascii="Symbol" w:hAnsi="Symbol" w:cs="Symbol"/>
    </w:rPr>
  </w:style>
  <w:style w:type="character" w:styleId="WW8Num62z0">
    <w:name w:val="WW8Num62z0"/>
    <w:qFormat/>
    <w:rPr>
      <w:rFonts w:ascii="Symbol" w:hAnsi="Symbol" w:cs="Symbol"/>
      <w:sz w:val="20"/>
    </w:rPr>
  </w:style>
  <w:style w:type="character" w:styleId="WW8Num62z1">
    <w:name w:val="WW8Num62z1"/>
    <w:qFormat/>
    <w:rPr>
      <w:rFonts w:ascii="Courier New" w:hAnsi="Courier New" w:cs="Courier New"/>
      <w:sz w:val="20"/>
    </w:rPr>
  </w:style>
  <w:style w:type="character" w:styleId="WW8Num62z2">
    <w:name w:val="WW8Num62z2"/>
    <w:qFormat/>
    <w:rPr>
      <w:rFonts w:ascii="Wingdings" w:hAnsi="Wingdings" w:cs="Wingdings"/>
      <w:sz w:val="20"/>
    </w:rPr>
  </w:style>
  <w:style w:type="character" w:styleId="WW8Num63z0">
    <w:name w:val="WW8Num63z0"/>
    <w:qFormat/>
    <w:rPr>
      <w:rFonts w:ascii="Wingdings" w:hAnsi="Wingdings" w:cs="Wingdings"/>
    </w:rPr>
  </w:style>
  <w:style w:type="character" w:styleId="WW8Num63z1">
    <w:name w:val="WW8Num63z1"/>
    <w:qFormat/>
    <w:rPr>
      <w:rFonts w:ascii="Courier New" w:hAnsi="Courier New" w:cs="Courier New"/>
    </w:rPr>
  </w:style>
  <w:style w:type="character" w:styleId="WW8Num63z3">
    <w:name w:val="WW8Num63z3"/>
    <w:qFormat/>
    <w:rPr>
      <w:rFonts w:ascii="Symbol" w:hAnsi="Symbol" w:cs="Symbol"/>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sz w:val="20"/>
    </w:rPr>
  </w:style>
  <w:style w:type="character" w:styleId="WW8Num66z1">
    <w:name w:val="WW8Num66z1"/>
    <w:qFormat/>
    <w:rPr>
      <w:rFonts w:ascii="Courier New" w:hAnsi="Courier New" w:cs="Courier New"/>
      <w:sz w:val="20"/>
    </w:rPr>
  </w:style>
  <w:style w:type="character" w:styleId="WW8Num66z2">
    <w:name w:val="WW8Num66z2"/>
    <w:qFormat/>
    <w:rPr>
      <w:rFonts w:ascii="Wingdings" w:hAnsi="Wingdings" w:cs="Wingdings"/>
      <w:sz w:val="20"/>
    </w:rPr>
  </w:style>
  <w:style w:type="character" w:styleId="WW8Num68z0">
    <w:name w:val="WW8Num68z0"/>
    <w:qFormat/>
    <w:rPr>
      <w:rFonts w:ascii="Wingdings" w:hAnsi="Wingdings" w:cs="Wingdings"/>
      <w:sz w:val="16"/>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Wingdings" w:hAnsi="Wingdings" w:cs="Wingdings"/>
      <w:sz w:val="16"/>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mainsubheader">
    <w:name w:val="mainsubheader"/>
    <w:basedOn w:val="DefaultParagraphFont"/>
    <w:qFormat/>
    <w:rPr/>
  </w:style>
  <w:style w:type="character" w:styleId="Strong">
    <w:name w:val="Strong"/>
    <w:basedOn w:val="DefaultParagraphFont"/>
    <w:qFormat/>
    <w:rPr>
      <w:b/>
      <w:bCs/>
    </w:rPr>
  </w:style>
  <w:style w:type="character" w:styleId="data">
    <w:name w:val="data"/>
    <w:basedOn w:val="DefaultParagraphFont"/>
    <w:qFormat/>
    <w:rPr/>
  </w:style>
  <w:style w:type="character" w:styleId="neg">
    <w:name w:val="neg"/>
    <w:basedOn w:val="DefaultParagraphFont"/>
    <w:qFormat/>
    <w:rPr/>
  </w:style>
  <w:style w:type="character" w:styleId="pos">
    <w:name w:val="pos"/>
    <w:basedOn w:val="DefaultParagraphFont"/>
    <w:qFormat/>
    <w:rPr/>
  </w:style>
  <w:style w:type="character" w:styleId="smhead1">
    <w:name w:val="smhead1"/>
    <w:basedOn w:val="DefaultParagraphFont"/>
    <w:qFormat/>
    <w:rPr>
      <w:rFonts w:ascii="Arial" w:hAnsi="Arial" w:cs="Arial"/>
      <w:b/>
      <w:bCs/>
      <w:color w:val="333399"/>
      <w:sz w:val="29"/>
      <w:szCs w:val="29"/>
    </w:rPr>
  </w:style>
  <w:style w:type="character" w:styleId="mainsubheader1">
    <w:name w:val="mainsubheader1"/>
    <w:basedOn w:val="DefaultParagraphFont"/>
    <w:qFormat/>
    <w:rPr>
      <w:rFonts w:ascii="Verdana" w:hAnsi="Verdana" w:cs="Verdana"/>
      <w:b/>
      <w:bCs/>
      <w:strike w:val="false"/>
      <w:dstrike w:val="false"/>
      <w:color w:val="000000"/>
      <w:sz w:val="23"/>
      <w:szCs w:val="23"/>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b/>
      <w:i/>
      <w:sz w:val="72"/>
    </w:rPr>
  </w:style>
  <w:style w:type="paragraph" w:styleId="List">
    <w:name w:val="List"/>
    <w:basedOn w:val="BodyText"/>
    <w:pPr/>
    <w:rPr>
      <w:rFonts w:cs="NotoSans NF"/>
    </w:rPr>
  </w:style>
  <w:style w:type="paragraph" w:styleId="Caption">
    <w:name w:val="caption"/>
    <w:basedOn w:val="Normal"/>
    <w:next w:val="Normal"/>
    <w:qFormat/>
    <w:pPr/>
    <w:rPr>
      <w:b/>
      <w:bCs/>
      <w:sz w:val="22"/>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jc w:val="both"/>
    </w:pPr>
    <w:rPr>
      <w:rFonts w:ascii="Tahoma" w:hAnsi="Tahoma" w:cs="Tahoma"/>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i/>
      <w:iCs/>
    </w:rPr>
  </w:style>
  <w:style w:type="paragraph" w:styleId="NormalWeb">
    <w:name w:val="Normal (Web)"/>
    <w:basedOn w:val="Normal"/>
    <w:qFormat/>
    <w:pPr>
      <w:spacing w:before="100" w:after="100"/>
    </w:pPr>
    <w:rPr>
      <w:rFonts w:ascii="Arial Unicode MS" w:hAnsi="Arial Unicode MS" w:eastAsia="Arial Unicode MS" w:cs="Arial Unicode MS"/>
      <w:color w:val="000000"/>
      <w:sz w:val="24"/>
    </w:rPr>
  </w:style>
  <w:style w:type="paragraph" w:styleId="BodyTextIndent">
    <w:name w:val="Body Text Indent"/>
    <w:basedOn w:val="Normal"/>
    <w:pPr>
      <w:ind w:hanging="0" w:start="-180" w:end="0"/>
      <w:jc w:val="center"/>
    </w:pPr>
    <w:rPr>
      <w:b/>
      <w:bCs/>
      <w:i/>
      <w:iCs/>
    </w:rPr>
  </w:style>
  <w:style w:type="paragraph" w:styleId="BodyTextIndent2">
    <w:name w:val="Body Text Indent 2"/>
    <w:basedOn w:val="Normal"/>
    <w:qFormat/>
    <w:pPr>
      <w:ind w:hanging="0" w:start="720" w:end="0"/>
    </w:pPr>
    <w:rPr>
      <w:rFonts w:eastAsia="Arial Unicode MS"/>
      <w:color w:val="000000"/>
      <w:sz w:val="16"/>
    </w:rPr>
  </w:style>
  <w:style w:type="paragraph" w:styleId="BodyTextIndent3">
    <w:name w:val="Body Text Indent 3"/>
    <w:basedOn w:val="Normal"/>
    <w:qFormat/>
    <w:pPr>
      <w:ind w:firstLine="60" w:start="720" w:end="0"/>
      <w:jc w:val="both"/>
    </w:pPr>
    <w:rPr>
      <w:rFonts w:eastAsia="Arial Unicode MS"/>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Cs w:val="20"/>
    </w:rPr>
  </w:style>
  <w:style w:type="paragraph" w:styleId="BlockText">
    <w:name w:val="Block Text"/>
    <w:basedOn w:val="Normal"/>
    <w:qFormat/>
    <w:pPr>
      <w:ind w:hanging="0" w:start="-360" w:end="-180"/>
      <w:jc w:val="both"/>
    </w:pPr>
    <w:rPr/>
  </w:style>
  <w:style w:type="paragraph" w:styleId="inside-head">
    <w:name w:val="inside-head"/>
    <w:basedOn w:val="Normal"/>
    <w:qFormat/>
    <w:pPr>
      <w:spacing w:before="100" w:after="100"/>
    </w:pPr>
    <w:rPr>
      <w:rFonts w:ascii="Times New Roman" w:hAnsi="Times New Roman" w:eastAsia="Arial Unicode MS" w:cs="Times New Roman"/>
      <w:b/>
      <w:bCs/>
      <w:sz w:val="32"/>
      <w:szCs w:val="3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oleObject" Target="embeddings/oleObject3.bin"/><Relationship Id="rId7" Type="http://schemas.openxmlformats.org/officeDocument/2006/relationships/image" Target="media/image3.png"/><Relationship Id="rId8" Type="http://schemas.openxmlformats.org/officeDocument/2006/relationships/hyperlink" Target="http://www.usatoday.com/money/covers/2001-08-30-bcovthu.htm" TargetMode="External"/><Relationship Id="rId9" Type="http://schemas.openxmlformats.org/officeDocument/2006/relationships/hyperlink" Target="http://www.usatoday.com/money/economy/2001-08-30-productivity-explainer.htm" TargetMode="External"/><Relationship Id="rId10" Type="http://schemas.openxmlformats.org/officeDocument/2006/relationships/oleObject" Target="embeddings/oleObject4.bin"/><Relationship Id="rId11" Type="http://schemas.openxmlformats.org/officeDocument/2006/relationships/image" Target="media/image4.png"/><Relationship Id="rId12" Type="http://schemas.openxmlformats.org/officeDocument/2006/relationships/hyperlink" Target="http://www.workforce.com/feature/00/07/90/" TargetMode="External"/><Relationship Id="rId13" Type="http://schemas.openxmlformats.org/officeDocument/2006/relationships/hyperlink" Target="http://www.nytimes.com/2001/09/04/business/markets/04PAY.html" TargetMode="External"/><Relationship Id="rId14" Type="http://schemas.openxmlformats.org/officeDocument/2006/relationships/hyperlink" Target="http://www.shrm.org/hrnews/articles/default.asp?page=bna090401b.ht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2001-09-07T02:20:00Z</dcterms:created>
  <dc:creator>Norman Levine</dc:creator>
  <dc:description/>
  <dc:language>en-CA</dc:language>
  <cp:lastModifiedBy>Norman Levine</cp:lastModifiedBy>
  <cp:lastPrinted>2001-09-05T09:22:00Z</cp:lastPrinted>
  <dcterms:modified xsi:type="dcterms:W3CDTF">2001-09-07T02:39:00Z</dcterms:modified>
  <cp:revision>4</cp:revision>
  <dc:subject/>
  <dc:title/>
</cp:coreProperties>
</file>