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8638"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15.6pt;width:477pt;height:65.4pt;mso-wrap-distance-left:9.05pt;mso-wrap-distance-right:9.05pt;mso-position-horizontal-relative:text;mso-position-vertical-relative:text" filled="f" o:ole="">
            <v:imagedata r:id="rId3" o:title=""/>
            <w10:wrap type="topAndBottom"/>
          </v:shape>
          <o:OLEObject Type="Embed" ProgID="" ShapeID="ole_rId2" DrawAspect="Content" ObjectID="_1448475463" r:id="rId2"/>
        </w:object>
      </w:r>
      <w:r>
        <mc:AlternateContent>
          <mc:Choice Requires="wps">
            <w:drawing>
              <wp:anchor behindDoc="0" distT="0" distB="0" distL="114935" distR="114935" simplePos="0" locked="0" layoutInCell="1" allowOverlap="1" relativeHeight="3">
                <wp:simplePos x="0" y="0"/>
                <wp:positionH relativeFrom="column">
                  <wp:posOffset>571500</wp:posOffset>
                </wp:positionH>
                <wp:positionV relativeFrom="paragraph">
                  <wp:posOffset>198120</wp:posOffset>
                </wp:positionV>
                <wp:extent cx="5372100" cy="571500"/>
                <wp:effectExtent l="0" t="0" r="0" b="0"/>
                <wp:wrapNone/>
                <wp:docPr id="1" name="Frame1"/>
                <a:graphic xmlns:a="http://schemas.openxmlformats.org/drawingml/2006/main">
                  <a:graphicData uri="http://schemas.microsoft.com/office/word/2010/wordprocessingShape">
                    <wps:wsp>
                      <wps:cNvSpPr txBox="1"/>
                      <wps:spPr>
                        <a:xfrm>
                          <a:off x="0" y="0"/>
                          <a:ext cx="5372100" cy="571500"/>
                        </a:xfrm>
                        <a:prstGeom prst="rect"/>
                        <a:solidFill>
                          <a:srgbClr val="FFFFFF"/>
                        </a:solidFill>
                      </wps:spPr>
                      <wps:txbx>
                        <w:txbxContent>
                          <w:p>
                            <w:pPr>
                              <w:pStyle w:val="BodyText"/>
                              <w:rPr/>
                            </w:pPr>
                            <w:r>
                              <w:rPr>
                                <w:sz w:val="64"/>
                              </w:rPr>
                              <w:t>Enron HR</w:t>
                            </w:r>
                            <w:r>
                              <w:rPr/>
                              <w:t xml:space="preserve"> Newsletter</w:t>
                            </w:r>
                          </w:p>
                        </w:txbxContent>
                      </wps:txbx>
                      <wps:bodyPr anchor="t" lIns="92075" tIns="46355" rIns="92075" bIns="46355">
                        <a:noAutofit/>
                      </wps:bodyPr>
                    </wps:wsp>
                  </a:graphicData>
                </a:graphic>
              </wp:anchor>
            </w:drawing>
          </mc:Choice>
          <mc:Fallback>
            <w:pict>
              <v:rect fillcolor="#FFFFFF" style="position:absolute;rotation:-0;width:423pt;height:45pt;mso-wrap-distance-left:9.05pt;mso-wrap-distance-right:9.05pt;mso-wrap-distance-top:0pt;mso-wrap-distance-bottom:0pt;margin-top:15.6pt;mso-position-vertical-relative:text;margin-left:45pt;mso-position-horizontal-relative:text">
                <v:textbox inset="0.100694444444444in,0.0506944444444444in,0.100694444444444in,0.0506944444444444in">
                  <w:txbxContent>
                    <w:p>
                      <w:pPr>
                        <w:pStyle w:val="BodyText"/>
                        <w:rPr/>
                      </w:pPr>
                      <w:r>
                        <w:rPr>
                          <w:sz w:val="64"/>
                        </w:rPr>
                        <w:t>Enron HR</w:t>
                      </w:r>
                      <w:r>
                        <w:rPr/>
                        <w:t xml:space="preserve"> Newsletter</w:t>
                      </w:r>
                    </w:p>
                  </w:txbxContent>
                </v:textbox>
                <w10:wrap type="none"/>
              </v:rect>
            </w:pict>
          </mc:Fallback>
        </mc:AlternateContent>
      </w:r>
    </w:p>
    <w:p>
      <w:pPr>
        <w:pStyle w:val="Normal"/>
        <w:rPr/>
      </w:pPr>
      <w:r>
        <w:rPr/>
      </w:r>
    </w:p>
    <w:p>
      <w:pPr>
        <w:pStyle w:val="Normal"/>
        <w:rPr/>
      </w:pPr>
      <w:r>
        <w:rPr/>
      </w:r>
    </w:p>
    <w:p>
      <w:pPr>
        <w:pStyle w:val="Heading2"/>
        <w:ind w:hanging="0" w:start="0"/>
        <w:rPr>
          <w:i/>
          <w:i/>
          <w:iCs/>
          <w:sz w:val="44"/>
        </w:rPr>
      </w:pPr>
      <w:r>
        <w:rPr>
          <w:i/>
          <w:iCs/>
          <w:sz w:val="44"/>
        </w:rPr>
      </w:r>
    </w:p>
    <w:p>
      <w:pPr>
        <w:pStyle w:val="Heading1"/>
        <w:ind w:hanging="0" w:start="0"/>
        <w:rPr>
          <w:b/>
          <w:bCs/>
          <w:i/>
          <w:i/>
          <w:iCs/>
          <w:sz w:val="14"/>
        </w:rPr>
      </w:pPr>
      <w:r>
        <w:rPr>
          <w:b/>
          <w:bCs/>
          <w:i/>
          <w:iCs/>
          <w:sz w:val="14"/>
        </w:rPr>
      </w:r>
    </w:p>
    <w:p>
      <w:pPr>
        <w:pStyle w:val="Heading1"/>
        <w:ind w:hanging="0" w:start="0"/>
        <w:rPr>
          <w:b/>
          <w:bCs/>
          <w:sz w:val="44"/>
        </w:rPr>
      </w:pPr>
      <w:r>
        <w:rPr>
          <w:b/>
          <w:bCs/>
          <w:sz w:val="44"/>
        </w:rPr>
        <w:t>August 15, 2001</w:t>
      </w:r>
    </w:p>
    <w:p>
      <w:pPr>
        <w:pStyle w:val="Normal"/>
        <w:rPr>
          <w:b/>
          <w:bCs/>
          <w:sz w:val="44"/>
        </w:rPr>
      </w:pPr>
      <w:r>
        <w:rPr>
          <w:b/>
          <w:bCs/>
          <w:sz w:val="44"/>
        </w:rPr>
      </w:r>
    </w:p>
    <w:p>
      <w:pPr>
        <w:pStyle w:val="Normal"/>
        <w:rPr/>
      </w:pPr>
      <w:r>
        <w:rPr/>
      </w:r>
    </w:p>
    <w:p>
      <w:pPr>
        <w:pStyle w:val="Normal"/>
        <w:rPr>
          <w:lang w:val="en-CA" w:eastAsia="en-CA"/>
        </w:rPr>
      </w:pPr>
      <w:r>
        <w:rPr>
          <w:lang w:val="en-CA" w:eastAsia="en-CA"/>
        </w:rPr>
        <w:object w:dxaOrig="13228" w:dyaOrig="63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90pt;margin-top:27.6pt;width:259.2pt;height:125.2pt;mso-wrap-distance-left:9.05pt;mso-wrap-distance-right:9.05pt;mso-position-horizontal-relative:text;mso-position-vertical-relative:text" filled="f" o:ole="">
            <v:imagedata r:id="rId5" o:title=""/>
            <w10:wrap type="topAndBottom"/>
          </v:shape>
          <o:OLEObject Type="Embed" ProgID="" ShapeID="ole_rId4" DrawAspect="Content" ObjectID="_1445533753" r:id="rId4"/>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7"/>
        <w:autoSpaceDE w:val="false"/>
        <w:ind w:hanging="0" w:start="0"/>
        <w:rPr>
          <w:b w:val="false"/>
          <w:bCs w:val="false"/>
        </w:rPr>
      </w:pPr>
      <w:r>
        <w:rPr>
          <w:b w:val="false"/>
          <w:bCs w:val="false"/>
        </w:rPr>
      </w:r>
    </w:p>
    <w:p>
      <w:pPr>
        <w:pStyle w:val="Normal"/>
        <w:ind w:start="-360" w:end="-180"/>
        <w:jc w:val="center"/>
        <w:rPr>
          <w:b/>
          <w:bCs/>
          <w:shadow/>
          <w:sz w:val="22"/>
          <w:u w:val="single"/>
        </w:rPr>
      </w:pPr>
      <w:r>
        <w:rPr>
          <w:b/>
          <w:bCs/>
          <w:shadow/>
          <w:sz w:val="22"/>
          <w:u w:val="single"/>
        </w:rPr>
        <w:t>Benefits</w:t>
      </w:r>
    </w:p>
    <w:p>
      <w:pPr>
        <w:pStyle w:val="Normal"/>
        <w:ind w:start="-360" w:end="-180"/>
        <w:jc w:val="both"/>
        <w:rPr>
          <w:b/>
          <w:bCs/>
          <w:shadow/>
          <w:sz w:val="22"/>
          <w:u w:val="single"/>
        </w:rPr>
      </w:pPr>
      <w:r>
        <w:rPr>
          <w:b/>
          <w:bCs/>
          <w:shadow/>
          <w:sz w:val="22"/>
          <w:u w:val="single"/>
        </w:rPr>
      </w:r>
    </w:p>
    <w:p>
      <w:pPr>
        <w:pStyle w:val="Normal"/>
        <w:ind w:start="-360" w:end="-180"/>
        <w:jc w:val="both"/>
        <w:rPr>
          <w:b/>
          <w:bCs/>
          <w:u w:val="single"/>
        </w:rPr>
      </w:pPr>
      <w:r>
        <w:rPr>
          <w:b/>
          <w:bCs/>
          <w:u w:val="single"/>
        </w:rPr>
        <w:t>Trends in Prescription Drug Benefits</w:t>
      </w:r>
    </w:p>
    <w:p>
      <w:pPr>
        <w:pStyle w:val="BlockText"/>
        <w:rPr/>
      </w:pPr>
      <w:r>
        <w:rPr/>
        <w:t xml:space="preserve">In its latest drug trend report, Merck-Medco estimates employer spending on drug benefits will double again over the next five years as manufacturers bring newer, more expensive therapies to market and consumers continue increasing their utilization of medications. The report is based on drug utilization and spending of Merck-Medco's 65 million pharmacy benefit plan members. </w:t>
      </w:r>
    </w:p>
    <w:p>
      <w:pPr>
        <w:pStyle w:val="Normal"/>
        <w:ind w:start="-360" w:end="-180"/>
        <w:jc w:val="both"/>
        <w:rPr>
          <w:sz w:val="8"/>
        </w:rPr>
      </w:pPr>
      <w:r>
        <w:rPr>
          <w:sz w:val="8"/>
        </w:rPr>
      </w:r>
    </w:p>
    <w:p>
      <w:pPr>
        <w:pStyle w:val="Normal"/>
        <w:ind w:start="-360" w:end="-180"/>
        <w:jc w:val="both"/>
        <w:rPr/>
      </w:pPr>
      <w:r>
        <w:rPr/>
        <w:t>Average drug spending per member per year for retirees increased 96% between 1996 and last year, while drug spending for active employees rose 84%.  The greatest growth in drug spending occurred among consumers in the 40 to 55 age group, where greater awareness of pharmaceuticals for the treatment of common conditions has stimulated an early transition to long-term medications.</w:t>
      </w:r>
    </w:p>
    <w:p>
      <w:pPr>
        <w:pStyle w:val="BlockText"/>
        <w:rPr>
          <w:sz w:val="8"/>
        </w:rPr>
      </w:pPr>
      <w:r>
        <w:rPr>
          <w:sz w:val="8"/>
        </w:rPr>
      </w:r>
    </w:p>
    <w:p>
      <w:pPr>
        <w:pStyle w:val="BlockText"/>
        <w:rPr/>
      </w:pPr>
      <w:r>
        <w:rPr/>
        <w:t xml:space="preserve">Drug price inflation was responsible for 22% of the five-year increase in benefit costs. Merck-Medco estimates drug price increases will continue to increase between 4% and 6% annually for the next three years.  Rising utilization, driven both by the number of new users of drugs and an increase in the number of days of drug therapy, account for about half of the drug benefit cost surge. </w:t>
      </w:r>
    </w:p>
    <w:p>
      <w:pPr>
        <w:pStyle w:val="Normal"/>
        <w:ind w:start="-360" w:end="-180"/>
        <w:jc w:val="both"/>
        <w:rPr>
          <w:sz w:val="10"/>
        </w:rPr>
      </w:pPr>
      <w:r>
        <w:rPr>
          <w:sz w:val="10"/>
        </w:rPr>
      </w:r>
    </w:p>
    <w:p>
      <w:pPr>
        <w:pStyle w:val="BlockText"/>
        <w:rPr>
          <w:b/>
          <w:bCs/>
          <w:color w:val="808080"/>
        </w:rPr>
      </w:pPr>
      <w:r>
        <w:rPr>
          <w:b/>
          <w:bCs/>
          <w:color w:val="808080"/>
        </w:rPr>
        <w:t>Prescription Benefit Cost Controls:</w:t>
      </w:r>
    </w:p>
    <w:p>
      <w:pPr>
        <w:pStyle w:val="BlockText"/>
        <w:rPr>
          <w:rFonts w:eastAsia="Tahoma"/>
          <w:b/>
          <w:bCs/>
          <w:color w:val="808080"/>
          <w:sz w:val="10"/>
        </w:rPr>
      </w:pPr>
      <w:r>
        <w:rPr>
          <w:rFonts w:eastAsia="Tahoma"/>
          <w:b/>
          <w:bCs/>
          <w:color w:val="808080"/>
          <w:sz w:val="10"/>
        </w:rPr>
        <w:t xml:space="preserve"> </w:t>
      </w:r>
    </w:p>
    <w:p>
      <w:pPr>
        <w:pStyle w:val="BlockText"/>
        <w:rPr/>
      </w:pPr>
      <w:r>
        <w:rPr/>
        <w:t xml:space="preserve">There are indications that greater employer controls on prescription drug benefit plans are already alleviating some of the cost increases. After surging an average of 16.4% in 1999, prescription drug costs for Merck-Medco clients increased an average of 14% last year. </w:t>
      </w:r>
    </w:p>
    <w:p>
      <w:pPr>
        <w:pStyle w:val="Normal"/>
        <w:ind w:start="-360" w:end="-180"/>
        <w:jc w:val="both"/>
        <w:rPr>
          <w:sz w:val="8"/>
        </w:rPr>
      </w:pPr>
      <w:r>
        <w:rPr>
          <w:sz w:val="8"/>
        </w:rPr>
      </w:r>
    </w:p>
    <w:p>
      <w:pPr>
        <w:pStyle w:val="Normal"/>
        <w:ind w:start="-360" w:end="-180"/>
        <w:jc w:val="both"/>
        <w:rPr/>
      </w:pPr>
      <w:r>
        <w:rPr/>
        <w:t xml:space="preserve">Significantly, one-third of Merck-Medco's largest employer and health plan clients were able to reduce their drug benefit cost increases to 10% or less in 2000 through cost-control measures. </w:t>
      </w:r>
    </w:p>
    <w:p>
      <w:pPr>
        <w:pStyle w:val="Normal"/>
        <w:ind w:start="-360" w:end="-180"/>
        <w:jc w:val="both"/>
        <w:rPr>
          <w:sz w:val="8"/>
        </w:rPr>
      </w:pPr>
      <w:r>
        <w:rPr>
          <w:sz w:val="8"/>
        </w:rPr>
      </w:r>
    </w:p>
    <w:p>
      <w:pPr>
        <w:pStyle w:val="Normal"/>
        <w:ind w:start="-360" w:end="-180"/>
        <w:jc w:val="both"/>
        <w:rPr/>
      </w:pPr>
      <w:r>
        <w:rPr/>
        <w:t xml:space="preserve">Companies have had much success reducing yearly drug benefit cost increases by encouraging the use of mail order pharmacies and lower-cost generic substitutes. Many employers have also increased their plan co-payment structures and modified formularies to encourage appropriate drug utilization. </w:t>
      </w:r>
    </w:p>
    <w:p>
      <w:pPr>
        <w:pStyle w:val="Normal"/>
        <w:ind w:start="-360" w:end="-180"/>
        <w:jc w:val="both"/>
        <w:rPr>
          <w:sz w:val="8"/>
        </w:rPr>
      </w:pPr>
      <w:r>
        <w:rPr>
          <w:sz w:val="8"/>
        </w:rPr>
      </w:r>
    </w:p>
    <w:p>
      <w:pPr>
        <w:pStyle w:val="Normal"/>
        <w:ind w:start="-360" w:end="-180"/>
        <w:jc w:val="both"/>
        <w:rPr/>
      </w:pPr>
      <w:r>
        <w:rPr/>
        <w:t xml:space="preserve">Express Scripts says that within a year of using a multi-tiered plan (generics, preferred brand-names,  nonpreferred brand-names, and drugs needed for "symptomatic relief," such as certain allergy medications), employers can see 10% to 20% of patients switching to lower-cost drugs. </w:t>
      </w:r>
    </w:p>
    <w:p>
      <w:pPr>
        <w:pStyle w:val="Normal"/>
        <w:ind w:start="-360" w:end="-180"/>
        <w:jc w:val="both"/>
        <w:rPr>
          <w:sz w:val="8"/>
        </w:rPr>
      </w:pPr>
      <w:r>
        <w:rPr>
          <w:sz w:val="8"/>
        </w:rPr>
      </w:r>
    </w:p>
    <w:p>
      <w:pPr>
        <w:pStyle w:val="Normal"/>
        <w:ind w:start="-360" w:end="-180"/>
        <w:jc w:val="both"/>
        <w:rPr/>
      </w:pPr>
      <w:r>
        <w:rPr/>
        <w:t xml:space="preserve">Studies show that cost-share increases between 2% and 10% can lower drug utilization. When cost-share increases exceed 10%, however, the utilization of essential medications for chronic conditions such as hypertension and diabetes is reduced, which could lead to higher health care costs and negative outcomes. </w:t>
      </w:r>
    </w:p>
    <w:p>
      <w:pPr>
        <w:pStyle w:val="Normal"/>
        <w:ind w:start="-360" w:end="-180"/>
        <w:jc w:val="both"/>
        <w:rPr>
          <w:sz w:val="8"/>
        </w:rPr>
      </w:pPr>
      <w:r>
        <w:rPr>
          <w:sz w:val="8"/>
        </w:rPr>
      </w:r>
    </w:p>
    <w:p>
      <w:pPr>
        <w:pStyle w:val="Normal"/>
        <w:ind w:start="-360" w:end="-180"/>
        <w:jc w:val="both"/>
        <w:rPr/>
      </w:pPr>
      <w:r>
        <w:rPr/>
        <w:t xml:space="preserve">Some large employers are also turning to advanced software-based medical and prescription drug programs to identify potential medical errors and ensure the accuracy of prescriptions. These systems can reduce drug costs by up to 3% and cut hospital spending by as much as 5% while improving health outcomes, Merck-Medco data show. </w:t>
      </w:r>
    </w:p>
    <w:p>
      <w:pPr>
        <w:pStyle w:val="Normal"/>
        <w:ind w:start="-360" w:end="-180"/>
        <w:jc w:val="center"/>
        <w:rPr>
          <w:b/>
          <w:bCs/>
          <w:shadow/>
          <w:sz w:val="30"/>
          <w:u w:val="single"/>
        </w:rPr>
      </w:pPr>
      <w:r>
        <w:rPr>
          <w:b/>
          <w:bCs/>
          <w:shadow/>
          <w:sz w:val="30"/>
          <w:u w:val="single"/>
        </w:rPr>
      </w:r>
    </w:p>
    <w:p>
      <w:pPr>
        <w:pStyle w:val="Normal"/>
        <w:ind w:start="-360" w:end="-180"/>
        <w:jc w:val="both"/>
        <w:rPr>
          <w:b/>
          <w:bCs/>
          <w:u w:val="single"/>
        </w:rPr>
      </w:pPr>
      <w:r>
        <w:rPr>
          <w:b/>
          <w:bCs/>
          <w:u w:val="single"/>
        </w:rPr>
        <w:t>Retiree Health Benefits Likely To Keep Shrinking</w:t>
      </w:r>
    </w:p>
    <w:p>
      <w:pPr>
        <w:pStyle w:val="Normal"/>
        <w:ind w:start="-360" w:end="-180"/>
        <w:jc w:val="both"/>
        <w:rPr/>
      </w:pPr>
      <w:r>
        <w:rPr/>
        <w:t xml:space="preserve">A new report, "Retiree Health Benefits: Trends and Outlook," by the Employee Benefit Research Institute reveals that employer-provided health benefits for retirees are expected to continue to be scaled back, though the changes would not impact current retirees. The benefits available for future retirees would be affected by more stringent accounting standards dictated by the Financial Standards Accounting Board in FAS 106, which requires companies to accrue and expense certain future claims' payments in addition to actual paid claims. </w:t>
      </w:r>
    </w:p>
    <w:p>
      <w:pPr>
        <w:pStyle w:val="Normal"/>
        <w:ind w:start="-360" w:end="-180"/>
        <w:jc w:val="both"/>
        <w:rPr>
          <w:sz w:val="8"/>
        </w:rPr>
      </w:pPr>
      <w:r>
        <w:rPr>
          <w:sz w:val="8"/>
        </w:rPr>
      </w:r>
    </w:p>
    <w:p>
      <w:pPr>
        <w:pStyle w:val="Normal"/>
        <w:ind w:start="-360" w:end="-180"/>
        <w:jc w:val="both"/>
        <w:rPr/>
      </w:pPr>
      <w:r>
        <w:rPr/>
        <w:t>Employers are also concerned about age discrimination issues regarding benefits offered to age 65 retirees versus benefits offered to early retirees, pending legislation in Congress that would prohibit them from making any changes to certain retiree health benefits, as well as the rapidly rising costs of health coverage. The report suggests that employees approaching retirement age may decide to postpone their decision to retire if health insurance is not available.</w:t>
      </w:r>
    </w:p>
    <w:p>
      <w:pPr>
        <w:pStyle w:val="Normal"/>
        <w:ind w:start="-360" w:end="-180"/>
        <w:jc w:val="both"/>
        <w:rPr/>
      </w:pPr>
      <w:r>
        <w:rPr/>
      </w:r>
    </w:p>
    <w:p>
      <w:pPr>
        <w:pStyle w:val="Normal"/>
        <w:ind w:start="-360" w:end="-180"/>
        <w:jc w:val="center"/>
        <w:rPr>
          <w:b/>
          <w:bCs/>
          <w:shadow/>
          <w:sz w:val="22"/>
          <w:u w:val="single"/>
        </w:rPr>
      </w:pPr>
      <w:r>
        <w:rPr>
          <w:b/>
          <w:bCs/>
          <w:shadow/>
          <w:sz w:val="22"/>
          <w:u w:val="single"/>
        </w:rPr>
      </w:r>
    </w:p>
    <w:p>
      <w:pPr>
        <w:pStyle w:val="Normal"/>
        <w:ind w:start="-360" w:end="-180"/>
        <w:jc w:val="center"/>
        <w:rPr>
          <w:b/>
          <w:bCs/>
          <w:shadow/>
          <w:sz w:val="22"/>
          <w:u w:val="single"/>
        </w:rPr>
      </w:pPr>
      <w:r>
        <w:rPr>
          <w:b/>
          <w:bCs/>
          <w:shadow/>
          <w:sz w:val="22"/>
          <w:u w:val="single"/>
        </w:rPr>
        <w:t>Benefits</w:t>
      </w:r>
    </w:p>
    <w:p>
      <w:pPr>
        <w:pStyle w:val="Normal"/>
        <w:ind w:start="-360" w:end="-180"/>
        <w:jc w:val="both"/>
        <w:rPr>
          <w:b/>
          <w:bCs/>
          <w:shadow/>
          <w:sz w:val="22"/>
          <w:u w:val="single"/>
        </w:rPr>
      </w:pPr>
      <w:r>
        <w:rPr>
          <w:b/>
          <w:bCs/>
          <w:shadow/>
          <w:sz w:val="22"/>
          <w:u w:val="single"/>
        </w:rPr>
      </w:r>
    </w:p>
    <w:p>
      <w:pPr>
        <w:pStyle w:val="Normal"/>
        <w:ind w:start="-360" w:end="-180"/>
        <w:jc w:val="both"/>
        <w:rPr>
          <w:b/>
          <w:bCs/>
          <w:u w:val="single"/>
        </w:rPr>
      </w:pPr>
      <w:r>
        <w:rPr>
          <w:b/>
          <w:bCs/>
          <w:u w:val="single"/>
        </w:rPr>
        <w:t>Many employees desire wider choice, DC approach to health benefits</w:t>
      </w:r>
    </w:p>
    <w:p>
      <w:pPr>
        <w:pStyle w:val="Normal"/>
        <w:ind w:start="-360" w:end="-180"/>
        <w:jc w:val="both"/>
        <w:rPr/>
      </w:pPr>
      <w:r>
        <w:rPr/>
        <w:t xml:space="preserve">A majority of employees would rather have more choices in the matter when it comes to company-sponsored health benefits, according to Watson Wyatt's 2001 Best Practices in Health Care Vendor Management study. </w:t>
      </w:r>
    </w:p>
    <w:p>
      <w:pPr>
        <w:pStyle w:val="Normal"/>
        <w:ind w:start="-360" w:end="-180"/>
        <w:jc w:val="both"/>
        <w:rPr>
          <w:sz w:val="8"/>
        </w:rPr>
      </w:pPr>
      <w:r>
        <w:rPr>
          <w:sz w:val="8"/>
        </w:rPr>
      </w:r>
    </w:p>
    <w:p>
      <w:pPr>
        <w:pStyle w:val="Normal"/>
        <w:ind w:start="-360" w:end="-180"/>
        <w:jc w:val="both"/>
        <w:rPr/>
      </w:pPr>
      <w:r>
        <w:rPr/>
        <w:t xml:space="preserve">Specifically, 55% of workers would prefer a wider choice in their medical plan and most would be willing to pay more if a less restrictive plan resulted from such choice. Employees may have a hard time convincing their organizations - just 15% of employers surveyed say an expansion of health plan choices is a high priority. </w:t>
      </w:r>
    </w:p>
    <w:p>
      <w:pPr>
        <w:pStyle w:val="Normal"/>
        <w:ind w:start="-360" w:end="-180"/>
        <w:jc w:val="both"/>
        <w:rPr>
          <w:sz w:val="8"/>
        </w:rPr>
      </w:pPr>
      <w:r>
        <w:rPr>
          <w:sz w:val="8"/>
        </w:rPr>
      </w:r>
    </w:p>
    <w:p>
      <w:pPr>
        <w:pStyle w:val="Normal"/>
        <w:ind w:start="-360" w:end="-180"/>
        <w:jc w:val="both"/>
        <w:rPr/>
      </w:pPr>
      <w:r>
        <w:rPr/>
        <w:t xml:space="preserve">In another finding, while 23% of employees object to a defined contribution approach, a substantial number (39%) favor a DC system. However, the study indicates that a considerable majority of these employees still want their employer to play an active role in the administration and facilitation of health plans. </w:t>
      </w:r>
    </w:p>
    <w:p>
      <w:pPr>
        <w:pStyle w:val="Normal"/>
        <w:ind w:start="-360" w:end="-180"/>
        <w:jc w:val="both"/>
        <w:rPr>
          <w:b/>
          <w:bCs/>
          <w:u w:val="single"/>
        </w:rPr>
      </w:pPr>
      <w:r>
        <w:rPr>
          <w:b/>
          <w:bCs/>
          <w:u w:val="single"/>
        </w:rPr>
      </w:r>
    </w:p>
    <w:p>
      <w:pPr>
        <w:pStyle w:val="Normal"/>
        <w:ind w:start="-360" w:end="-180"/>
        <w:jc w:val="both"/>
        <w:rPr>
          <w:b/>
          <w:bCs/>
          <w:u w:val="single"/>
        </w:rPr>
      </w:pPr>
      <w:r>
        <w:rPr>
          <w:b/>
          <w:bCs/>
          <w:u w:val="single"/>
        </w:rPr>
        <w:t>HMO Premiums To Soar 15% In 2002</w:t>
      </w:r>
    </w:p>
    <w:p>
      <w:pPr>
        <w:pStyle w:val="Normal"/>
        <w:ind w:start="-360" w:end="-180"/>
        <w:jc w:val="both"/>
        <w:rPr/>
      </w:pPr>
      <w:r>
        <w:rPr/>
        <w:t>An annual survey which appears in the August 15 issue of the Managed Healthcare Market Report reports projected increases in managed care premiums of 15 percent in 2002, based on interviews with more than 75 major employers, coalitions, health plans and benefit consultants in 28 states. Texas, Florida, New Jersey, Ohio, Iowa and Alabama are expected to be the hardest hit.  The higher cost of prescription drugs, increased usage resulting from looser medical management, and higher reimbursements to providers were all given as reasons for the boost in premium cost.</w:t>
      </w:r>
    </w:p>
    <w:p>
      <w:pPr>
        <w:pStyle w:val="Normal"/>
        <w:ind w:start="-360" w:end="-180"/>
        <w:jc w:val="both"/>
        <w:rPr/>
      </w:pPr>
      <w:r>
        <w:rPr/>
      </w:r>
    </w:p>
    <w:p>
      <w:pPr>
        <w:pStyle w:val="Normal"/>
        <w:ind w:start="-360" w:end="-180"/>
        <w:jc w:val="both"/>
        <w:rPr>
          <w:b/>
          <w:bCs/>
          <w:u w:val="single"/>
        </w:rPr>
      </w:pPr>
      <w:r>
        <w:rPr>
          <w:b/>
          <w:bCs/>
          <w:u w:val="single"/>
        </w:rPr>
        <w:t>Gen Xers Rank Benefits</w:t>
      </w:r>
    </w:p>
    <w:p>
      <w:pPr>
        <w:pStyle w:val="Normal"/>
        <w:ind w:start="-360" w:end="-180"/>
        <w:jc w:val="both"/>
        <w:rPr/>
      </w:pPr>
      <w:r>
        <w:rPr/>
        <w:t>Asked to rank a series of workplace benefits, those surveyed deemed a strong employer-sponsored retirement plan the most important benefit (39%), ahead of a flexible work schedule (29%), company stock (12%), child care or elder care benefits (11%) or generous vacation time (6%).</w:t>
      </w:r>
    </w:p>
    <w:p>
      <w:pPr>
        <w:pStyle w:val="Normal"/>
        <w:ind w:start="-360" w:end="-180"/>
        <w:jc w:val="both"/>
        <w:rPr>
          <w:i/>
          <w:i/>
          <w:iCs/>
          <w:sz w:val="6"/>
        </w:rPr>
      </w:pPr>
      <w:r>
        <w:rPr>
          <w:i/>
          <w:iCs/>
          <w:sz w:val="6"/>
        </w:rPr>
      </w:r>
    </w:p>
    <w:p>
      <w:pPr>
        <w:pStyle w:val="BlockText"/>
        <w:rPr>
          <w:i/>
          <w:i/>
          <w:iCs/>
          <w:sz w:val="16"/>
        </w:rPr>
      </w:pPr>
      <w:r>
        <w:rPr>
          <w:rFonts w:eastAsia="Tahoma"/>
          <w:i/>
          <w:iCs/>
          <w:sz w:val="16"/>
        </w:rPr>
        <w:t xml:space="preserve"> </w:t>
      </w:r>
      <w:r>
        <w:rPr>
          <w:i/>
          <w:iCs/>
          <w:sz w:val="16"/>
        </w:rPr>
        <w:t>Source:  nationwide survey of 1,205 people who fall into the "Generation X" era - those ages 21 to 34 - conducted by Yankelovich Partners.</w:t>
      </w:r>
    </w:p>
    <w:p>
      <w:pPr>
        <w:pStyle w:val="Normal"/>
        <w:ind w:start="-360" w:end="-180"/>
        <w:jc w:val="center"/>
        <w:rPr>
          <w:b/>
          <w:bCs/>
          <w:i/>
          <w:i/>
          <w:iCs/>
          <w:shadow/>
          <w:sz w:val="22"/>
          <w:u w:val="single"/>
        </w:rPr>
      </w:pPr>
      <w:r>
        <w:rPr>
          <w:b/>
          <w:bCs/>
          <w:i/>
          <w:iCs/>
          <w:shadow/>
          <w:sz w:val="22"/>
          <w:u w:val="single"/>
        </w:rPr>
      </w:r>
    </w:p>
    <w:p>
      <w:pPr>
        <w:pStyle w:val="Normal"/>
        <w:ind w:start="-360" w:end="-180"/>
        <w:jc w:val="center"/>
        <w:rPr>
          <w:b/>
          <w:bCs/>
          <w:shadow/>
          <w:sz w:val="22"/>
          <w:u w:val="single"/>
        </w:rPr>
      </w:pPr>
      <w:r>
        <w:rPr>
          <w:b/>
          <w:bCs/>
          <w:shadow/>
          <w:sz w:val="22"/>
          <w:u w:val="single"/>
        </w:rPr>
        <w:t>Automation</w:t>
      </w:r>
    </w:p>
    <w:p>
      <w:pPr>
        <w:pStyle w:val="Normal"/>
        <w:ind w:start="-360" w:end="-180"/>
        <w:rPr>
          <w:b/>
          <w:bCs/>
          <w:shadow/>
          <w:sz w:val="22"/>
          <w:u w:val="single"/>
        </w:rPr>
      </w:pPr>
      <w:r>
        <w:rPr>
          <w:b/>
          <w:bCs/>
          <w:shadow/>
          <w:sz w:val="22"/>
          <w:u w:val="single"/>
        </w:rPr>
      </w:r>
    </w:p>
    <w:p>
      <w:pPr>
        <w:pStyle w:val="Normal"/>
        <w:ind w:start="-360" w:end="-180"/>
        <w:rPr>
          <w:b/>
          <w:bCs/>
          <w:u w:val="single"/>
        </w:rPr>
      </w:pPr>
      <w:r>
        <w:rPr>
          <w:b/>
          <w:bCs/>
          <w:u w:val="single"/>
        </w:rPr>
        <w:t>HR Web Transactions Continue to Rise At Work and At Home</w:t>
      </w:r>
    </w:p>
    <w:p>
      <w:pPr>
        <w:pStyle w:val="BlockText"/>
        <w:rPr/>
      </w:pPr>
      <w:r>
        <w:rPr/>
        <w:t xml:space="preserve">Towers Perrin's 2001 HR Service Center Survey found that more than 60% of respondents will allow employees to complete their benefit enrollment online in 2001, more than double the number reported in 2000. Similar increases were seen for personal HR data changes (43% in 2001 vs. 21% in 2000) and 401(k) allocation changes (80% in 2001 vs. 58% in 2000). </w:t>
      </w:r>
    </w:p>
    <w:p>
      <w:pPr>
        <w:pStyle w:val="Normal"/>
        <w:ind w:start="-360" w:end="-180"/>
        <w:jc w:val="both"/>
        <w:rPr>
          <w:sz w:val="8"/>
        </w:rPr>
      </w:pPr>
      <w:r>
        <w:rPr>
          <w:sz w:val="8"/>
        </w:rPr>
      </w:r>
    </w:p>
    <w:p>
      <w:pPr>
        <w:pStyle w:val="BlockText"/>
        <w:rPr/>
      </w:pPr>
      <w:r>
        <w:rPr/>
        <w:t xml:space="preserve">One reason for companies increasing their access to the Web is the increase in timeliness, accuracy, and in some cases, a reduction in workload when such transactions are completed on the Web.  More than 75% of the survey respondents reported that annual benefit enrollment transactions online are more accurate, as are new hire enrollment (73%), family status changes (73%), employment events (50%), and personal changes (80%). </w:t>
      </w:r>
    </w:p>
    <w:p>
      <w:pPr>
        <w:pStyle w:val="Normal"/>
        <w:ind w:start="-360" w:end="-180"/>
        <w:jc w:val="center"/>
        <w:rPr>
          <w:b/>
          <w:bCs/>
          <w:shadow/>
          <w:sz w:val="22"/>
          <w:u w:val="single"/>
        </w:rPr>
      </w:pPr>
      <w:r>
        <w:rPr>
          <w:b/>
          <w:bCs/>
          <w:shadow/>
          <w:sz w:val="22"/>
          <w:u w:val="single"/>
        </w:rPr>
      </w:r>
    </w:p>
    <w:p>
      <w:pPr>
        <w:pStyle w:val="BlockText"/>
        <w:rPr>
          <w:b/>
          <w:bCs/>
          <w:shadow/>
          <w:sz w:val="10"/>
          <w:u w:val="single"/>
        </w:rPr>
      </w:pPr>
      <w:r>
        <w:rPr>
          <w:b/>
          <w:bCs/>
          <w:shadow/>
          <w:sz w:val="10"/>
          <w:u w:val="single"/>
        </w:rPr>
      </w:r>
    </w:p>
    <w:p>
      <w:pPr>
        <w:pStyle w:val="BlockText"/>
        <w:pBdr>
          <w:top w:val="single" w:sz="18" w:space="1" w:color="000000" w:shadow="1"/>
          <w:left w:val="single" w:sz="18" w:space="4" w:color="000000" w:shadow="1"/>
          <w:bottom w:val="single" w:sz="18" w:space="1" w:color="000000" w:shadow="1"/>
          <w:right w:val="single" w:sz="18" w:space="4" w:color="000000" w:shadow="1"/>
        </w:pBdr>
        <w:shd w:fill="FFCC99" w:val="clear"/>
        <w:jc w:val="center"/>
        <w:rPr>
          <w:b/>
          <w:bCs/>
          <w:u w:val="single"/>
        </w:rPr>
      </w:pPr>
      <w:r>
        <w:rPr>
          <w:b/>
          <w:bCs/>
          <w:u w:val="single"/>
        </w:rPr>
        <w:t>Workforce Statistics</w:t>
      </w:r>
    </w:p>
    <w:p>
      <w:pPr>
        <w:pStyle w:val="BlockText"/>
        <w:pBdr>
          <w:top w:val="single" w:sz="18" w:space="1" w:color="000000" w:shadow="1"/>
          <w:left w:val="single" w:sz="18" w:space="4" w:color="000000" w:shadow="1"/>
          <w:bottom w:val="single" w:sz="18" w:space="1" w:color="000000" w:shadow="1"/>
          <w:right w:val="single" w:sz="18" w:space="4" w:color="000000" w:shadow="1"/>
        </w:pBdr>
        <w:shd w:fill="FFCC99" w:val="clear"/>
        <w:jc w:val="center"/>
        <w:rPr>
          <w:b/>
          <w:bCs/>
          <w:sz w:val="8"/>
          <w:u w:val="single"/>
        </w:rPr>
      </w:pPr>
      <w:r>
        <w:rPr>
          <w:b/>
          <w:bCs/>
          <w:sz w:val="8"/>
          <w:u w:val="single"/>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hanging="180" w:start="-180" w:end="-180"/>
        <w:jc w:val="both"/>
        <w:rPr/>
      </w:pPr>
      <w:r>
        <w:rPr>
          <w:b/>
          <w:bCs/>
        </w:rPr>
        <w:t>**</w:t>
      </w:r>
      <w:r>
        <w:rPr/>
        <w:t xml:space="preserve">The 35-to-44 age-range population will decrease by 15% in 15 years, and the workforce in their middle 30s is the most mobile that ever existed. </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sz w:val="6"/>
        </w:rPr>
      </w:pPr>
      <w:r>
        <w:rPr>
          <w:sz w:val="6"/>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pPr>
      <w:r>
        <w:rPr>
          <w:b/>
          <w:bCs/>
        </w:rPr>
        <w:t>**</w:t>
      </w:r>
      <w:r>
        <w:rPr/>
        <w:t xml:space="preserve">Half of college students say they plan to spend just two years at their first job. </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sz w:val="6"/>
        </w:rPr>
      </w:pPr>
      <w:r>
        <w:rPr>
          <w:sz w:val="6"/>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hanging="180" w:start="-180" w:end="-180"/>
        <w:jc w:val="both"/>
        <w:rPr/>
      </w:pPr>
      <w:r>
        <w:rPr>
          <w:b/>
          <w:bCs/>
        </w:rPr>
        <w:t>**</w:t>
      </w:r>
      <w:r>
        <w:rPr/>
        <w:t xml:space="preserve">Sixty percent of employees say they plan to leave their jobs within a year--but still say they are  satisfied. </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sz w:val="4"/>
        </w:rPr>
      </w:pPr>
      <w:r>
        <w:rPr>
          <w:sz w:val="4"/>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i/>
          <w:i/>
          <w:iCs/>
          <w:sz w:val="16"/>
        </w:rPr>
      </w:pPr>
      <w:r>
        <w:rPr>
          <w:rFonts w:eastAsia="Tahoma"/>
          <w:i/>
          <w:iCs/>
          <w:sz w:val="16"/>
        </w:rPr>
        <w:t xml:space="preserve">     </w:t>
      </w:r>
      <w:r>
        <w:rPr>
          <w:i/>
          <w:iCs/>
          <w:sz w:val="16"/>
        </w:rPr>
        <w:t xml:space="preserve">Source: Human Resource Department Management Report, Institute of Management &amp; Administration (IOMA)  </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start="-360" w:end="-180"/>
        <w:jc w:val="both"/>
        <w:rPr>
          <w:i/>
          <w:i/>
          <w:iCs/>
          <w:sz w:val="4"/>
        </w:rPr>
      </w:pPr>
      <w:r>
        <w:rPr>
          <w:i/>
          <w:iCs/>
          <w:sz w:val="4"/>
        </w:rPr>
      </w:r>
    </w:p>
    <w:p>
      <w:pPr>
        <w:pStyle w:val="Normal"/>
        <w:ind w:start="-360" w:end="-180"/>
        <w:jc w:val="center"/>
        <w:rPr>
          <w:b/>
          <w:bCs/>
          <w:i/>
          <w:i/>
          <w:iCs/>
          <w:shadow/>
          <w:sz w:val="22"/>
          <w:u w:val="single"/>
        </w:rPr>
      </w:pPr>
      <w:r>
        <w:rPr>
          <w:b/>
          <w:bCs/>
          <w:i/>
          <w:iCs/>
          <w:shadow/>
          <w:sz w:val="22"/>
          <w:u w:val="single"/>
        </w:rPr>
      </w:r>
    </w:p>
    <w:p>
      <w:pPr>
        <w:pStyle w:val="Normal"/>
        <w:ind w:start="-360" w:end="-180"/>
        <w:jc w:val="center"/>
        <w:rPr>
          <w:b/>
          <w:bCs/>
          <w:shadow/>
          <w:sz w:val="22"/>
          <w:u w:val="single"/>
        </w:rPr>
      </w:pPr>
      <w:r>
        <w:rPr>
          <w:b/>
          <w:bCs/>
          <w:shadow/>
          <w:sz w:val="22"/>
          <w:u w:val="single"/>
        </w:rPr>
        <w:t>Work Life</w:t>
      </w:r>
    </w:p>
    <w:p>
      <w:pPr>
        <w:pStyle w:val="Normal"/>
        <w:ind w:start="-360" w:end="-180"/>
        <w:jc w:val="both"/>
        <w:rPr>
          <w:b/>
          <w:bCs/>
          <w:shadow/>
          <w:sz w:val="22"/>
          <w:u w:val="single"/>
        </w:rPr>
      </w:pPr>
      <w:r>
        <w:rPr>
          <w:b/>
          <w:bCs/>
          <w:shadow/>
          <w:sz w:val="22"/>
          <w:u w:val="single"/>
        </w:rPr>
      </w:r>
    </w:p>
    <w:p>
      <w:pPr>
        <w:pStyle w:val="BlockText"/>
        <w:rPr>
          <w:b/>
          <w:bCs/>
          <w:u w:val="single"/>
        </w:rPr>
      </w:pPr>
      <w:r>
        <w:rPr>
          <w:b/>
          <w:bCs/>
          <w:u w:val="single"/>
        </w:rPr>
        <w:t>More Employers Promoting Health and Productivity</w:t>
      </w:r>
    </w:p>
    <w:p>
      <w:pPr>
        <w:pStyle w:val="BlockText"/>
        <w:rPr/>
      </w:pPr>
      <w:r>
        <w:rPr/>
        <w:t>Despite double digit health care cost increases, a slowing economy and new legislative regulations, employers continue to offer health promotion and health management programs. A study by Hewitt Associates shows that 92% of U.S. companies currently offer some kind of health promotion program, up from 88% in 1995.</w:t>
      </w:r>
    </w:p>
    <w:p>
      <w:pPr>
        <w:pStyle w:val="BlockText"/>
        <w:rPr>
          <w:sz w:val="8"/>
        </w:rPr>
      </w:pPr>
      <w:r>
        <w:rPr>
          <w:sz w:val="8"/>
        </w:rPr>
      </w:r>
    </w:p>
    <w:p>
      <w:pPr>
        <w:pStyle w:val="BlockText"/>
        <w:rPr/>
      </w:pPr>
      <w:r>
        <w:rPr/>
        <w:t>The following summarizes various types of initiatives that a growing number of companies are offering:</w:t>
      </w:r>
    </w:p>
    <w:p>
      <w:pPr>
        <w:pStyle w:val="BlockText"/>
        <w:rPr>
          <w:sz w:val="8"/>
        </w:rPr>
      </w:pPr>
      <w:r>
        <w:rPr>
          <w:sz w:val="8"/>
        </w:rPr>
      </w:r>
    </w:p>
    <w:p>
      <w:pPr>
        <w:pStyle w:val="BlockText"/>
        <w:numPr>
          <w:ilvl w:val="0"/>
          <w:numId w:val="2"/>
        </w:numPr>
        <w:ind w:hanging="360" w:start="360" w:end="540"/>
        <w:rPr/>
      </w:pPr>
      <w:r>
        <w:rPr/>
        <w:t>Seventy-one percent of companies now offer employees some kind of education or training, a 5% increase since 1995.</w:t>
      </w:r>
    </w:p>
    <w:p>
      <w:pPr>
        <w:pStyle w:val="BlockText"/>
        <w:ind w:start="360" w:end="540"/>
        <w:jc w:val="start"/>
        <w:rPr>
          <w:sz w:val="12"/>
        </w:rPr>
      </w:pPr>
      <w:r>
        <w:rPr>
          <w:rFonts w:eastAsia="Tahoma"/>
          <w:sz w:val="8"/>
        </w:rPr>
        <w:t xml:space="preserve"> </w:t>
      </w:r>
    </w:p>
    <w:p>
      <w:pPr>
        <w:pStyle w:val="BlockText"/>
        <w:numPr>
          <w:ilvl w:val="0"/>
          <w:numId w:val="2"/>
        </w:numPr>
        <w:ind w:hanging="360" w:start="360" w:end="540"/>
        <w:rPr/>
      </w:pPr>
      <w:r>
        <w:rPr/>
        <w:t xml:space="preserve">Financial incentive and disincentive programs hold steady with 40% of companies continuing to offer them, compared with 32% in 1995. </w:t>
      </w:r>
    </w:p>
    <w:p>
      <w:pPr>
        <w:pStyle w:val="BlockText"/>
        <w:ind w:start="0" w:end="540"/>
        <w:rPr>
          <w:sz w:val="12"/>
        </w:rPr>
      </w:pPr>
      <w:r>
        <w:rPr>
          <w:sz w:val="12"/>
        </w:rPr>
      </w:r>
    </w:p>
    <w:p>
      <w:pPr>
        <w:pStyle w:val="BlockText"/>
        <w:numPr>
          <w:ilvl w:val="0"/>
          <w:numId w:val="2"/>
        </w:numPr>
        <w:ind w:hanging="360" w:start="360" w:end="540"/>
        <w:rPr/>
      </w:pPr>
      <w:r>
        <w:rPr/>
        <w:t xml:space="preserve">Twenty-seven percent of companies administer health risk appraisals to analyze an employee’s health history and promote early detection of preventable health conditions. </w:t>
      </w:r>
    </w:p>
    <w:p>
      <w:pPr>
        <w:pStyle w:val="BlockText"/>
        <w:ind w:start="360" w:end="540"/>
        <w:rPr>
          <w:sz w:val="12"/>
        </w:rPr>
      </w:pPr>
      <w:r>
        <w:rPr>
          <w:sz w:val="12"/>
        </w:rPr>
      </w:r>
    </w:p>
    <w:p>
      <w:pPr>
        <w:pStyle w:val="BlockText"/>
        <w:numPr>
          <w:ilvl w:val="0"/>
          <w:numId w:val="2"/>
        </w:numPr>
        <w:ind w:hanging="360" w:start="360" w:end="540"/>
        <w:rPr/>
      </w:pPr>
      <w:r>
        <w:rPr/>
        <w:t xml:space="preserve">Nearly three-quarters (74%) of employers use health screenings, compared to 67% in 1995. </w:t>
      </w:r>
    </w:p>
    <w:p>
      <w:pPr>
        <w:pStyle w:val="BlockText"/>
        <w:ind w:start="360" w:end="540"/>
        <w:rPr>
          <w:sz w:val="12"/>
        </w:rPr>
      </w:pPr>
      <w:r>
        <w:rPr>
          <w:sz w:val="12"/>
        </w:rPr>
      </w:r>
    </w:p>
    <w:p>
      <w:pPr>
        <w:pStyle w:val="BlockText"/>
        <w:numPr>
          <w:ilvl w:val="0"/>
          <w:numId w:val="2"/>
        </w:numPr>
        <w:ind w:hanging="360" w:start="360" w:end="540"/>
        <w:rPr/>
      </w:pPr>
      <w:r>
        <w:rPr/>
        <w:t xml:space="preserve">Seventy-seven percent of corporations offer employees special programs such as disease and medical management, flu vaccinations, well-baby/child care and prenatal care, compared to 71% in 1996. </w:t>
      </w:r>
    </w:p>
    <w:p>
      <w:pPr>
        <w:pStyle w:val="BlockText"/>
        <w:ind w:start="360" w:end="540"/>
        <w:rPr>
          <w:sz w:val="12"/>
        </w:rPr>
      </w:pPr>
      <w:r>
        <w:rPr>
          <w:sz w:val="12"/>
        </w:rPr>
      </w:r>
    </w:p>
    <w:p>
      <w:pPr>
        <w:pStyle w:val="BlockText"/>
        <w:numPr>
          <w:ilvl w:val="0"/>
          <w:numId w:val="2"/>
        </w:numPr>
        <w:ind w:hanging="360" w:start="360" w:end="540"/>
        <w:rPr/>
      </w:pPr>
      <w:r>
        <w:rPr/>
        <w:t>The majority of employers offering disease management (77%) and wellness programs (67%) to employees as part of their health plan benefits design, while some companies self-administer wellness (34%) and disease management (10%) programs.</w:t>
      </w:r>
    </w:p>
    <w:p>
      <w:pPr>
        <w:pStyle w:val="BlockText"/>
        <w:rPr>
          <w:sz w:val="28"/>
        </w:rPr>
      </w:pPr>
      <w:r>
        <w:rPr>
          <w:sz w:val="28"/>
        </w:rPr>
      </w:r>
    </w:p>
    <w:p>
      <w:pPr>
        <w:pStyle w:val="BlockText"/>
        <w:rPr>
          <w:b/>
          <w:bCs/>
          <w:u w:val="single"/>
        </w:rPr>
      </w:pPr>
      <w:r>
        <w:rPr>
          <w:b/>
          <w:bCs/>
          <w:u w:val="single"/>
        </w:rPr>
        <w:t>Work-Life Benefit Studies Released</w:t>
      </w:r>
    </w:p>
    <w:p>
      <w:pPr>
        <w:pStyle w:val="BlockText"/>
        <w:rPr/>
      </w:pPr>
      <w:r>
        <w:rPr/>
        <w:t xml:space="preserve">According to a recent study by the Families and Work Institute and PricewaterhouseCoopers, 46% of employees say that over the previous three months, they have felt overworked or overwhelmed by job demands. One-quarter of employees do not even take their full vacation time. </w:t>
      </w:r>
    </w:p>
    <w:p>
      <w:pPr>
        <w:pStyle w:val="BlockText"/>
        <w:rPr>
          <w:sz w:val="10"/>
        </w:rPr>
      </w:pPr>
      <w:r>
        <w:rPr>
          <w:sz w:val="10"/>
        </w:rPr>
      </w:r>
    </w:p>
    <w:p>
      <w:pPr>
        <w:pStyle w:val="BlockText"/>
        <w:rPr/>
      </w:pPr>
      <w:r>
        <w:rPr/>
        <w:t xml:space="preserve">Moreover, women tend to feel more overworked than men do, and not because of family responsibilities. They claim to be interrupted at work more frequently than men when they have too much to do. </w:t>
      </w:r>
    </w:p>
    <w:p>
      <w:pPr>
        <w:pStyle w:val="BlockText"/>
        <w:rPr>
          <w:sz w:val="10"/>
        </w:rPr>
      </w:pPr>
      <w:r>
        <w:rPr>
          <w:sz w:val="10"/>
        </w:rPr>
      </w:r>
    </w:p>
    <w:p>
      <w:pPr>
        <w:pStyle w:val="BlockText"/>
        <w:rPr/>
      </w:pPr>
      <w:r>
        <w:rPr/>
        <w:t xml:space="preserve">Telecommuting does not necessarily help, either. A study released late last year by researchers at the Boston College Center for Work and Family documented evidence that more telecommuters of both sexes claim to work during vacations, have more negative relationships with their supervisors and colleagues and do not get the raises and promotions their on-site co-workers receive. </w:t>
      </w:r>
    </w:p>
    <w:p>
      <w:pPr>
        <w:pStyle w:val="BlockText"/>
        <w:rPr>
          <w:sz w:val="10"/>
        </w:rPr>
      </w:pPr>
      <w:r>
        <w:rPr>
          <w:sz w:val="10"/>
        </w:rPr>
      </w:r>
    </w:p>
    <w:p>
      <w:pPr>
        <w:pStyle w:val="BlockText"/>
        <w:rPr/>
      </w:pPr>
      <w:r>
        <w:rPr/>
        <w:t xml:space="preserve">The study noted that more men telecommuted and used daily flexible time than women, while more women used traditional flex time. What is more, women who telecommuted reported working fewer hours than men and had a better work-life balance. </w:t>
      </w:r>
    </w:p>
    <w:p>
      <w:pPr>
        <w:pStyle w:val="BlockText"/>
        <w:rPr>
          <w:sz w:val="10"/>
        </w:rPr>
      </w:pPr>
      <w:r>
        <w:rPr>
          <w:sz w:val="10"/>
        </w:rPr>
      </w:r>
    </w:p>
    <w:p>
      <w:pPr>
        <w:pStyle w:val="BlockText"/>
        <w:rPr/>
      </w:pPr>
      <w:r>
        <w:rPr/>
        <w:t xml:space="preserve">Also, some 40% of workers do believe there is a price to pay for taking advantage of the work-life benefits offered by their own companies, according to Families and Work Institute. </w:t>
      </w:r>
    </w:p>
    <w:p>
      <w:pPr>
        <w:pStyle w:val="BlockText"/>
        <w:rPr>
          <w:sz w:val="4"/>
        </w:rPr>
      </w:pPr>
      <w:r>
        <w:rPr>
          <w:sz w:val="4"/>
        </w:rPr>
      </w:r>
    </w:p>
    <w:p>
      <w:pPr>
        <w:pStyle w:val="BlockText"/>
        <w:rPr/>
      </w:pPr>
      <w:hyperlink r:id="rId6">
        <w:r>
          <w:rPr>
            <w:rStyle w:val="Hyperlink"/>
          </w:rPr>
          <w:t>Link to Article</w:t>
        </w:r>
      </w:hyperlink>
    </w:p>
    <w:p>
      <w:pPr>
        <w:pStyle w:val="BlockText"/>
        <w:rPr>
          <w:sz w:val="28"/>
        </w:rPr>
      </w:pPr>
      <w:r>
        <w:rPr>
          <w:sz w:val="28"/>
        </w:rPr>
      </w:r>
    </w:p>
    <w:p>
      <w:pPr>
        <w:pStyle w:val="Normal"/>
        <w:ind w:start="-360" w:end="-180"/>
        <w:jc w:val="both"/>
        <w:rPr>
          <w:b/>
          <w:bCs/>
          <w:u w:val="single"/>
        </w:rPr>
      </w:pPr>
      <w:r>
        <w:rPr>
          <w:b/>
          <w:bCs/>
          <w:u w:val="single"/>
        </w:rPr>
        <w:t xml:space="preserve">Breaking the Gridlock </w:t>
      </w:r>
    </w:p>
    <w:p>
      <w:pPr>
        <w:pStyle w:val="BlockText"/>
        <w:rPr/>
      </w:pPr>
      <w:r>
        <w:rPr/>
        <w:t xml:space="preserve">The recently-released U.S. Census Bureau's Census 2000 Supplementary Survey showed that, on average, commute times in the United States have increased and at a faster rate than in previous decades. The increase in travel time from 1980-1990 was only seven-tenths of a minute. However, that time almost doubled to a minute and a half between 1990 and 2000.  </w:t>
      </w:r>
    </w:p>
    <w:p>
      <w:pPr>
        <w:pStyle w:val="Normal"/>
        <w:ind w:start="-360" w:end="-180"/>
        <w:jc w:val="center"/>
        <w:rPr>
          <w:b/>
          <w:bCs/>
          <w:shadow/>
          <w:sz w:val="22"/>
          <w:u w:val="single"/>
        </w:rPr>
      </w:pPr>
      <w:r>
        <w:rPr>
          <w:b/>
          <w:bCs/>
          <w:shadow/>
          <w:sz w:val="22"/>
          <w:u w:val="single"/>
        </w:rPr>
      </w:r>
    </w:p>
    <w:p>
      <w:pPr>
        <w:pStyle w:val="Normal"/>
        <w:ind w:start="-360" w:end="-180"/>
        <w:jc w:val="center"/>
        <w:rPr>
          <w:b/>
          <w:bCs/>
          <w:shadow/>
          <w:sz w:val="22"/>
          <w:u w:val="single"/>
        </w:rPr>
      </w:pPr>
      <w:r>
        <w:rPr>
          <w:b/>
          <w:bCs/>
          <w:shadow/>
          <w:sz w:val="22"/>
          <w:u w:val="single"/>
        </w:rPr>
      </w:r>
    </w:p>
    <w:p>
      <w:pPr>
        <w:pStyle w:val="Normal"/>
        <w:ind w:start="-360" w:end="-180"/>
        <w:jc w:val="center"/>
        <w:rPr>
          <w:b/>
          <w:bCs/>
          <w:shadow/>
          <w:sz w:val="22"/>
          <w:u w:val="single"/>
        </w:rPr>
      </w:pPr>
      <w:r>
        <w:rPr>
          <w:b/>
          <w:bCs/>
          <w:shadow/>
          <w:sz w:val="22"/>
          <w:u w:val="single"/>
        </w:rPr>
      </w:r>
    </w:p>
    <w:p>
      <w:pPr>
        <w:pStyle w:val="Normal"/>
        <w:ind w:start="-360" w:end="-180"/>
        <w:jc w:val="center"/>
        <w:rPr>
          <w:b/>
          <w:bCs/>
          <w:shadow/>
          <w:sz w:val="22"/>
          <w:u w:val="single"/>
        </w:rPr>
      </w:pPr>
      <w:r>
        <w:rPr>
          <w:b/>
          <w:bCs/>
          <w:shadow/>
          <w:sz w:val="22"/>
          <w:u w:val="single"/>
        </w:rPr>
        <w:t>Performance Management</w:t>
      </w:r>
    </w:p>
    <w:p>
      <w:pPr>
        <w:pStyle w:val="Normal"/>
        <w:ind w:start="-360" w:end="-180"/>
        <w:jc w:val="center"/>
        <w:rPr>
          <w:b/>
          <w:bCs/>
          <w:shadow/>
          <w:sz w:val="22"/>
          <w:u w:val="single"/>
        </w:rPr>
      </w:pPr>
      <w:r>
        <w:rPr>
          <w:b/>
          <w:bCs/>
          <w:shadow/>
          <w:sz w:val="22"/>
          <w:u w:val="single"/>
        </w:rPr>
      </w:r>
    </w:p>
    <w:p>
      <w:pPr>
        <w:pStyle w:val="BlockText"/>
        <w:rPr>
          <w:b/>
          <w:bCs/>
          <w:u w:val="single"/>
        </w:rPr>
      </w:pPr>
      <w:r>
        <w:rPr>
          <w:b/>
          <w:bCs/>
          <w:u w:val="single"/>
        </w:rPr>
        <w:t>360 Feedback</w:t>
      </w:r>
    </w:p>
    <w:p>
      <w:pPr>
        <w:pStyle w:val="BlockText"/>
        <w:rPr>
          <w:b/>
          <w:bCs/>
          <w:sz w:val="22"/>
          <w:u w:val="single"/>
        </w:rPr>
      </w:pPr>
      <w:r>
        <w:rPr/>
        <w:t>A recent Towers Perrin study found a fourth of big firms use such feedback, up from just 4% in 1996.  Towers Perrin ranked public companies by shareholder return, and 40% of the high performers used 360-degree reviews vs. 28% of others.  But some firms have tried the program and halted it.  Politics played a role for some, others thought it was too costly, and still others just weren't happy.</w:t>
      </w:r>
    </w:p>
    <w:p>
      <w:pPr>
        <w:pStyle w:val="BlockText"/>
        <w:rPr>
          <w:b/>
          <w:bCs/>
          <w:sz w:val="22"/>
          <w:u w:val="single"/>
        </w:rPr>
      </w:pPr>
      <w:r>
        <w:rPr>
          <w:b/>
          <w:bCs/>
          <w:sz w:val="22"/>
          <w:u w:val="single"/>
        </w:rPr>
      </w:r>
    </w:p>
    <w:p>
      <w:pPr>
        <w:pStyle w:val="BlockText"/>
        <w:jc w:val="center"/>
        <w:rPr>
          <w:b/>
          <w:bCs/>
          <w:shadow/>
          <w:sz w:val="22"/>
          <w:u w:val="single"/>
        </w:rPr>
      </w:pPr>
      <w:r>
        <w:rPr>
          <w:b/>
          <w:bCs/>
          <w:shadow/>
          <w:sz w:val="22"/>
          <w:u w:val="single"/>
        </w:rPr>
        <w:t>Labor Statistics</w:t>
      </w:r>
    </w:p>
    <w:p>
      <w:pPr>
        <w:pStyle w:val="BlockText"/>
        <w:jc w:val="center"/>
        <w:rPr>
          <w:b/>
          <w:bCs/>
          <w:shadow/>
          <w:sz w:val="22"/>
          <w:u w:val="single"/>
        </w:rPr>
      </w:pPr>
      <w:r>
        <w:rPr>
          <w:b/>
          <w:bCs/>
          <w:shadow/>
          <w:sz w:val="22"/>
          <w:u w:val="single"/>
        </w:rPr>
      </w:r>
    </w:p>
    <w:p>
      <w:pPr>
        <w:pStyle w:val="BlockText"/>
        <w:rPr>
          <w:b/>
          <w:bCs/>
          <w:u w:val="single"/>
        </w:rPr>
      </w:pPr>
      <w:r>
        <w:rPr>
          <w:b/>
          <w:bCs/>
          <w:u w:val="single"/>
        </w:rPr>
        <w:t xml:space="preserve">Productivity Now Faring Better than Forecasts </w:t>
      </w:r>
    </w:p>
    <w:p>
      <w:pPr>
        <w:pStyle w:val="BlockText"/>
        <w:rPr/>
      </w:pPr>
      <w:r>
        <w:rPr/>
        <w:t xml:space="preserve">The economy wasn't as bad in the first half as originally reported, but it wasn't as good over the past five years either.  That's a major conclusion economists took from the government's surprisingly strong second-quarter productivity report.  Productivity -- the amount of worker output per hour of work -- grew at a 2.5 percent annual rate in the April-June quarter. That was significantly better than the 1.5 percent consensus forecast and the revised first-quarter increase of only 0.1 percent. </w:t>
      </w:r>
    </w:p>
    <w:p>
      <w:pPr>
        <w:pStyle w:val="BlockText"/>
        <w:rPr>
          <w:b/>
          <w:bCs/>
          <w:shadow/>
          <w:sz w:val="22"/>
          <w:u w:val="single"/>
        </w:rPr>
      </w:pPr>
      <w:r>
        <w:rPr>
          <w:b/>
          <w:bCs/>
          <w:shadow/>
          <w:sz w:val="22"/>
          <w:u w:val="single"/>
        </w:rPr>
      </w:r>
    </w:p>
    <w:p>
      <w:pPr>
        <w:pStyle w:val="Normal"/>
        <w:ind w:start="-360" w:end="-180"/>
        <w:jc w:val="center"/>
        <w:rPr>
          <w:b/>
          <w:bCs/>
          <w:shadow/>
          <w:sz w:val="22"/>
          <w:u w:val="single"/>
        </w:rPr>
      </w:pPr>
      <w:r>
        <w:rPr>
          <w:b/>
          <w:bCs/>
          <w:shadow/>
          <w:sz w:val="22"/>
          <w:u w:val="single"/>
        </w:rPr>
        <w:t>Diversity</w:t>
      </w:r>
    </w:p>
    <w:p>
      <w:pPr>
        <w:pStyle w:val="Normal"/>
        <w:ind w:start="-360" w:end="-180"/>
        <w:rPr>
          <w:b/>
          <w:bCs/>
          <w:shadow/>
          <w:sz w:val="22"/>
          <w:u w:val="single"/>
        </w:rPr>
      </w:pPr>
      <w:r>
        <w:rPr>
          <w:b/>
          <w:bCs/>
          <w:shadow/>
          <w:sz w:val="22"/>
          <w:u w:val="single"/>
        </w:rPr>
      </w:r>
    </w:p>
    <w:p>
      <w:pPr>
        <w:pStyle w:val="Normal"/>
        <w:ind w:start="-360" w:end="-180"/>
        <w:rPr>
          <w:b/>
          <w:bCs/>
          <w:u w:val="single"/>
        </w:rPr>
      </w:pPr>
      <w:r>
        <w:rPr>
          <w:b/>
          <w:bCs/>
          <w:u w:val="single"/>
        </w:rPr>
        <w:t>Toyota Earmarks $8 Billion for Diversification Efforts</w:t>
      </w:r>
    </w:p>
    <w:p>
      <w:pPr>
        <w:pStyle w:val="Normal"/>
        <w:ind w:start="-360" w:end="-180"/>
        <w:jc w:val="both"/>
        <w:rPr/>
      </w:pPr>
      <w:r>
        <w:rPr/>
        <w:t>Threatened with a boycott, Toyota said that it would commit nearly $8 billion over the next decade to diversify its work force and reach out to more minority suppliers and customers.  The U.S. affiliate of the Toyota Motor Corporation of Japan said that it would spend millions more with black and Hispanic advertising agencies, work to expand the number of minority dealerships, create new career training programs for minorities and invest capital with minority-owned asset management companies.</w:t>
      </w:r>
    </w:p>
    <w:p>
      <w:pPr>
        <w:pStyle w:val="Normal"/>
        <w:ind w:start="-360" w:end="-180"/>
        <w:rPr>
          <w:sz w:val="4"/>
        </w:rPr>
      </w:pPr>
      <w:r>
        <w:rPr>
          <w:sz w:val="4"/>
        </w:rPr>
      </w:r>
    </w:p>
    <w:p>
      <w:pPr>
        <w:pStyle w:val="Normal"/>
        <w:ind w:start="-360" w:end="-180"/>
        <w:rPr/>
      </w:pPr>
      <w:hyperlink r:id="rId7">
        <w:r>
          <w:rPr>
            <w:rStyle w:val="Hyperlink"/>
          </w:rPr>
          <w:t>Link to Article</w:t>
        </w:r>
      </w:hyperlink>
    </w:p>
    <w:p>
      <w:pPr>
        <w:pStyle w:val="Normal"/>
        <w:ind w:start="-360" w:end="-180"/>
        <w:jc w:val="both"/>
        <w:rPr/>
      </w:pPr>
      <w:r>
        <w:rPr/>
      </w:r>
    </w:p>
    <w:p>
      <w:pPr>
        <w:pStyle w:val="Normal"/>
        <w:ind w:start="-360" w:end="-180"/>
        <w:jc w:val="both"/>
        <w:rPr>
          <w:b/>
          <w:bCs/>
          <w:u w:val="single"/>
        </w:rPr>
      </w:pPr>
      <w:r>
        <w:rPr>
          <w:b/>
          <w:bCs/>
          <w:u w:val="single"/>
        </w:rPr>
        <w:t>Women encounter 'glass border' for expat assignments</w:t>
      </w:r>
    </w:p>
    <w:p>
      <w:pPr>
        <w:pStyle w:val="Normal"/>
        <w:ind w:start="-360" w:end="-180"/>
        <w:jc w:val="both"/>
        <w:rPr/>
      </w:pPr>
      <w:r>
        <w:rPr/>
        <w:t>According to Catalyst, women hold about 13% of all expat posts, despite comprising 49% of corporate middle management.  Those findings are consistent with analysis conducted by CIGNA International, WorldatWork and the National Foreign Trade Council. In looking at ways companies could maximize their expat investments, researchers found different gender treatment "significant enough" to warrant more study, according to CIGNA.</w:t>
      </w:r>
    </w:p>
    <w:p>
      <w:pPr>
        <w:pStyle w:val="Normal"/>
        <w:ind w:start="-360" w:end="-180"/>
        <w:jc w:val="both"/>
        <w:rPr>
          <w:sz w:val="22"/>
        </w:rPr>
      </w:pPr>
      <w:r>
        <w:rPr>
          <w:sz w:val="22"/>
        </w:rPr>
      </w:r>
    </w:p>
    <w:p>
      <w:pPr>
        <w:pStyle w:val="Normal"/>
        <w:ind w:start="-360" w:end="-180"/>
        <w:jc w:val="center"/>
        <w:rPr>
          <w:b/>
          <w:bCs/>
          <w:shadow/>
          <w:sz w:val="22"/>
          <w:u w:val="single"/>
        </w:rPr>
      </w:pPr>
      <w:r>
        <w:rPr>
          <w:b/>
          <w:bCs/>
          <w:shadow/>
          <w:sz w:val="22"/>
          <w:u w:val="single"/>
        </w:rPr>
        <w:t>Compensation</w:t>
      </w:r>
    </w:p>
    <w:p>
      <w:pPr>
        <w:pStyle w:val="Normal"/>
        <w:ind w:start="-360" w:end="-180"/>
        <w:jc w:val="center"/>
        <w:rPr>
          <w:b/>
          <w:bCs/>
          <w:shadow/>
          <w:sz w:val="22"/>
          <w:u w:val="single"/>
        </w:rPr>
      </w:pPr>
      <w:r>
        <w:rPr>
          <w:b/>
          <w:bCs/>
          <w:shadow/>
          <w:sz w:val="22"/>
          <w:u w:val="single"/>
        </w:rPr>
      </w:r>
    </w:p>
    <w:p>
      <w:pPr>
        <w:pStyle w:val="BlockText"/>
        <w:rPr>
          <w:b/>
          <w:bCs/>
          <w:u w:val="single"/>
        </w:rPr>
      </w:pPr>
      <w:r>
        <w:rPr>
          <w:b/>
          <w:bCs/>
          <w:u w:val="single"/>
        </w:rPr>
        <w:t>Consultant Pay Is Found Rising At Slower Rate</w:t>
      </w:r>
    </w:p>
    <w:p>
      <w:pPr>
        <w:pStyle w:val="BlockText"/>
        <w:rPr/>
      </w:pPr>
      <w:r>
        <w:rPr/>
        <w:t>According to a consulting firm's new study of compensation levels for consultants at six major global firms, consultant pay will probably rise 3 to 5 percent this year, in contrast to increases of between 18 and 21 percent over the last five years. Top partners at big consulting firms earned from $150,000 to $2 million last year, before bonuses, the study found. UK consultants generally earned 50 percent more than their counterparts in continental Europe and the US. Consulting firms have tried to keep job cuts quiet, but the study's best guess was that 5,000 to 7,000 people have been cut so far this year by the top 10 global consulting firms. This total could reach 10,000 by the end of the year, the study said.</w:t>
      </w:r>
    </w:p>
    <w:p>
      <w:pPr>
        <w:pStyle w:val="BlockText"/>
        <w:rPr>
          <w:sz w:val="24"/>
        </w:rPr>
      </w:pPr>
      <w:r>
        <w:rPr>
          <w:sz w:val="24"/>
        </w:rPr>
      </w:r>
    </w:p>
    <w:p>
      <w:pPr>
        <w:pStyle w:val="BlockText"/>
        <w:rPr>
          <w:b/>
          <w:bCs/>
          <w:u w:val="single"/>
        </w:rPr>
      </w:pPr>
      <w:r>
        <w:rPr>
          <w:b/>
          <w:bCs/>
          <w:u w:val="single"/>
        </w:rPr>
        <w:t xml:space="preserve">"Earning Power"  </w:t>
      </w:r>
    </w:p>
    <w:p>
      <w:pPr>
        <w:pStyle w:val="BlockText"/>
        <w:rPr/>
      </w:pPr>
      <w:r>
        <w:rPr/>
        <w:t xml:space="preserve">Female workers who earn MBAs cut the salary disparity between themselves and their male counterparts in half. According to a survey by the Graduate Management Admission Council, the average salary for men who earned an MBA increased 89% to $85,000 from $45,000.  The study showed that an MBA increased women's salaries 100% to $80,000 from $40,000. </w:t>
      </w:r>
    </w:p>
    <w:p>
      <w:pPr>
        <w:pStyle w:val="Normal"/>
        <w:ind w:start="-360" w:end="-180"/>
        <w:rPr>
          <w:b/>
          <w:bCs/>
          <w:u w:val="single"/>
        </w:rPr>
      </w:pPr>
      <w:r>
        <w:rPr>
          <w:b/>
          <w:bCs/>
          <w:u w:val="single"/>
        </w:rPr>
      </w:r>
    </w:p>
    <w:p>
      <w:pPr>
        <w:pStyle w:val="Normal"/>
        <w:ind w:start="-360" w:end="-180"/>
        <w:rPr>
          <w:b/>
          <w:bCs/>
          <w:u w:val="single"/>
        </w:rPr>
      </w:pPr>
      <w:r>
        <w:rPr>
          <w:b/>
          <w:bCs/>
          <w:u w:val="single"/>
        </w:rPr>
      </w:r>
    </w:p>
    <w:p>
      <w:pPr>
        <w:pStyle w:val="Normal"/>
        <w:ind w:start="-360" w:end="-180"/>
        <w:rPr>
          <w:b/>
          <w:bCs/>
          <w:u w:val="single"/>
        </w:rPr>
      </w:pPr>
      <w:r>
        <w:rPr>
          <w:b/>
          <w:bCs/>
          <w:u w:val="single"/>
        </w:rPr>
      </w:r>
    </w:p>
    <w:p>
      <w:pPr>
        <w:pStyle w:val="Normal"/>
        <w:ind w:start="-360" w:end="-180"/>
        <w:rPr>
          <w:b/>
          <w:bCs/>
          <w:u w:val="single"/>
        </w:rPr>
      </w:pPr>
      <w:r>
        <w:rPr>
          <w:b/>
          <w:bCs/>
          <w:u w:val="single"/>
        </w:rPr>
      </w:r>
    </w:p>
    <w:p>
      <w:pPr>
        <w:pStyle w:val="Normal"/>
        <w:ind w:start="-360" w:end="-180"/>
        <w:jc w:val="center"/>
        <w:rPr/>
      </w:pPr>
      <w:r>
        <w:rPr>
          <w:b/>
          <w:bCs/>
          <w:shadow/>
          <w:sz w:val="22"/>
          <w:u w:val="single"/>
        </w:rPr>
        <w:t xml:space="preserve">Compensation </w:t>
      </w:r>
      <w:r>
        <w:rPr>
          <w:b/>
          <w:bCs/>
          <w:shadow/>
        </w:rPr>
        <w:t>(Cont.)</w:t>
      </w:r>
    </w:p>
    <w:p>
      <w:pPr>
        <w:pStyle w:val="Normal"/>
        <w:ind w:start="-360" w:end="-180"/>
        <w:jc w:val="center"/>
        <w:rPr>
          <w:b/>
          <w:bCs/>
          <w:shadow/>
          <w:sz w:val="22"/>
          <w:u w:val="single"/>
        </w:rPr>
      </w:pPr>
      <w:r>
        <w:rPr>
          <w:b/>
          <w:bCs/>
          <w:shadow/>
          <w:sz w:val="22"/>
          <w:u w:val="single"/>
        </w:rPr>
      </w:r>
    </w:p>
    <w:p>
      <w:pPr>
        <w:pStyle w:val="Normal"/>
        <w:ind w:start="-360" w:end="-180"/>
        <w:rPr>
          <w:b/>
          <w:bCs/>
          <w:u w:val="single"/>
        </w:rPr>
      </w:pPr>
      <w:r>
        <w:rPr>
          <w:b/>
          <w:bCs/>
          <w:u w:val="single"/>
        </w:rPr>
        <w:t>Reports: Economy Not Slowing Raises</w:t>
      </w:r>
    </w:p>
    <w:p>
      <w:pPr>
        <w:pStyle w:val="Normal"/>
        <w:ind w:start="-360" w:end="-180"/>
        <w:jc w:val="both"/>
        <w:rPr/>
      </w:pPr>
      <w:r>
        <w:rPr/>
        <w:t>The slowdown in the economy hasn't yet eroded the steady pay gains enjoyed by U.S. workers, according to two new reports, but more employers are looking at ways to trim salary and wage increases in the months ahead.</w:t>
      </w:r>
    </w:p>
    <w:p>
      <w:pPr>
        <w:pStyle w:val="Normal"/>
        <w:ind w:start="-360" w:end="-180"/>
        <w:jc w:val="both"/>
        <w:rPr>
          <w:sz w:val="8"/>
        </w:rPr>
      </w:pPr>
      <w:r>
        <w:rPr>
          <w:sz w:val="8"/>
        </w:rPr>
      </w:r>
    </w:p>
    <w:p>
      <w:pPr>
        <w:pStyle w:val="Normal"/>
        <w:ind w:start="-360" w:end="-180"/>
        <w:jc w:val="both"/>
        <w:rPr/>
      </w:pPr>
      <w:r>
        <w:rPr/>
        <w:t xml:space="preserve">Workers nationwide netted total salary and wage gains of 7.3 percent in the first quarter of this year, compared with the same period a year ago, according to figures from the Bureau of Economic Analysis. </w:t>
      </w:r>
    </w:p>
    <w:p>
      <w:pPr>
        <w:pStyle w:val="Normal"/>
        <w:ind w:start="-360" w:end="-180"/>
        <w:jc w:val="both"/>
        <w:rPr>
          <w:sz w:val="8"/>
        </w:rPr>
      </w:pPr>
      <w:r>
        <w:rPr>
          <w:sz w:val="8"/>
        </w:rPr>
      </w:r>
    </w:p>
    <w:p>
      <w:pPr>
        <w:pStyle w:val="Normal"/>
        <w:ind w:start="-360" w:end="-180"/>
        <w:jc w:val="both"/>
        <w:rPr/>
      </w:pPr>
      <w:r>
        <w:rPr/>
        <w:t>Employers say they plan individual pay increases this year and next averaging just over 4 percent, reports William M. Mercer Inc., who surveyed 1,500 companies about such practices.  The companies surveyed by Mercer said they are hiking pay by 4.4 percent this year with plans for additional raises of 4.3 percent in 2002.  Both figures are just above the 4.2 percent increases companies reported in 2000 and each of the preceding three years.</w:t>
      </w:r>
    </w:p>
    <w:p>
      <w:pPr>
        <w:pStyle w:val="Normal"/>
        <w:ind w:start="-360" w:end="-180"/>
        <w:jc w:val="both"/>
        <w:rPr>
          <w:sz w:val="8"/>
        </w:rPr>
      </w:pPr>
      <w:r>
        <w:rPr>
          <w:sz w:val="8"/>
        </w:rPr>
      </w:r>
    </w:p>
    <w:p>
      <w:pPr>
        <w:pStyle w:val="Normal"/>
        <w:ind w:start="-360" w:end="-180"/>
        <w:jc w:val="both"/>
        <w:rPr/>
      </w:pPr>
      <w:r>
        <w:rPr/>
        <w:t>The firms were surveyed by Mercer early this year, and Mercer added that without a great improvement in the economy as the year goes forward, many companies may revisit those plans.</w:t>
      </w:r>
    </w:p>
    <w:p>
      <w:pPr>
        <w:pStyle w:val="Normal"/>
        <w:ind w:start="-360" w:end="-180"/>
        <w:jc w:val="both"/>
        <w:rPr>
          <w:sz w:val="8"/>
        </w:rPr>
      </w:pPr>
      <w:r>
        <w:rPr>
          <w:sz w:val="8"/>
        </w:rPr>
      </w:r>
    </w:p>
    <w:p>
      <w:pPr>
        <w:pStyle w:val="Normal"/>
        <w:ind w:start="-360" w:end="-180"/>
        <w:jc w:val="both"/>
        <w:rPr/>
      </w:pPr>
      <w:r>
        <w:rPr/>
        <w:t>Raises this year are being spread relatively evenly among workers, with executives getting 4.5 percent increases, 4.3 percent for technical and professional workers and 4.1 percent for non-union hourly workers, companies surveyed by Mercer reported.  In addition, profit pressures will mean bigger raises for stronger performers.</w:t>
      </w:r>
    </w:p>
    <w:p>
      <w:pPr>
        <w:pStyle w:val="BlockText"/>
        <w:rPr>
          <w:sz w:val="8"/>
        </w:rPr>
      </w:pPr>
      <w:r>
        <w:rPr>
          <w:sz w:val="8"/>
        </w:rPr>
      </w:r>
    </w:p>
    <w:p>
      <w:pPr>
        <w:pStyle w:val="BlockText"/>
        <w:rPr/>
      </w:pPr>
      <w:r>
        <w:rPr/>
        <w:t>Many firms are now growing wary of an extended slowdown and are considering ways to rein in salaries, Mercer's study found.  Many major employers have used layoffs to cut costs, but have been reluctant to penalize remaining workers, analysts said.  But pressed to cut spending, some companies are beginning to stretch out the time between raises, scale them back or give workers one-time lump sums instead of raises to avoid locking in costs.  Many companies have already pushed their merit raises from January to April, without actually cutting the amounts of those raises.</w:t>
      </w:r>
    </w:p>
    <w:p>
      <w:pPr>
        <w:pStyle w:val="Normal"/>
        <w:ind w:start="-360" w:end="-180"/>
        <w:jc w:val="both"/>
        <w:rPr>
          <w:sz w:val="30"/>
        </w:rPr>
      </w:pPr>
      <w:r>
        <w:rPr>
          <w:sz w:val="30"/>
        </w:rPr>
      </w:r>
    </w:p>
    <w:p>
      <w:pPr>
        <w:pStyle w:val="Normal"/>
        <w:ind w:start="-360" w:end="-180"/>
        <w:jc w:val="center"/>
        <w:rPr>
          <w:b/>
          <w:bCs/>
          <w:shadow/>
        </w:rPr>
      </w:pPr>
      <w:r>
        <w:rPr>
          <w:b/>
          <w:bCs/>
          <w:shadow/>
          <w:sz w:val="22"/>
          <w:u w:val="single"/>
        </w:rPr>
        <w:t>Workforce News</w:t>
      </w:r>
    </w:p>
    <w:p>
      <w:pPr>
        <w:pStyle w:val="Normal"/>
        <w:ind w:start="-360" w:end="-180"/>
        <w:jc w:val="center"/>
        <w:rPr>
          <w:b/>
          <w:bCs/>
          <w:shadow/>
          <w:sz w:val="22"/>
          <w:u w:val="single"/>
        </w:rPr>
      </w:pPr>
      <w:r>
        <w:rPr>
          <w:b/>
          <w:bCs/>
          <w:shadow/>
          <w:sz w:val="22"/>
          <w:u w:val="single"/>
        </w:rPr>
      </w:r>
    </w:p>
    <w:p>
      <w:pPr>
        <w:pStyle w:val="Normal"/>
        <w:ind w:start="-360" w:end="-180"/>
        <w:rPr>
          <w:b/>
          <w:bCs/>
          <w:u w:val="single"/>
        </w:rPr>
      </w:pPr>
      <w:r>
        <w:rPr>
          <w:b/>
          <w:bCs/>
          <w:u w:val="single"/>
        </w:rPr>
        <w:t>Consulting Firms Pulling No-Show on MBA Campuses</w:t>
      </w:r>
    </w:p>
    <w:p>
      <w:pPr>
        <w:pStyle w:val="Normal"/>
        <w:ind w:start="-360" w:end="-180"/>
        <w:jc w:val="both"/>
        <w:rPr/>
      </w:pPr>
      <w:r>
        <w:rPr/>
        <w:t xml:space="preserve">Many of the top consulting firms have told their summer interns, typically MBA candidates working between their two years of graduate school, not to look for their recruiters on campus come autumn.  With the economy slumping, big companies are not relying as much on consulting firms. </w:t>
      </w:r>
    </w:p>
    <w:p>
      <w:pPr>
        <w:pStyle w:val="Normal"/>
        <w:ind w:start="-360" w:end="-180"/>
        <w:jc w:val="both"/>
        <w:rPr>
          <w:sz w:val="6"/>
        </w:rPr>
      </w:pPr>
      <w:r>
        <w:rPr>
          <w:rFonts w:eastAsia="Tahoma"/>
        </w:rPr>
        <w:t xml:space="preserve"> </w:t>
      </w:r>
    </w:p>
    <w:p>
      <w:pPr>
        <w:pStyle w:val="BlockText"/>
        <w:rPr/>
      </w:pPr>
      <w:r>
        <w:rPr/>
        <w:t>Top firms like Accenture, Deloitte &amp; Touche and KPMG Consulting Inc. have started deflating their bloated staffs.  And all that is hurting the latest crop of MBAs, especially ones from the top 25 business schools, which graduate about 14,000 students a year. Usually, anywhere from one-third to one-half of them find jobs in consulting.</w:t>
      </w:r>
    </w:p>
    <w:p>
      <w:pPr>
        <w:pStyle w:val="Normal"/>
        <w:ind w:start="-360" w:end="-180"/>
        <w:jc w:val="both"/>
        <w:rPr>
          <w:sz w:val="8"/>
        </w:rPr>
      </w:pPr>
      <w:r>
        <w:rPr>
          <w:sz w:val="8"/>
        </w:rPr>
      </w:r>
    </w:p>
    <w:p>
      <w:pPr>
        <w:pStyle w:val="BlockText"/>
        <w:numPr>
          <w:ilvl w:val="0"/>
          <w:numId w:val="3"/>
        </w:numPr>
        <w:tabs>
          <w:tab w:val="clear" w:pos="720"/>
          <w:tab w:val="left" w:pos="0" w:leader="none"/>
        </w:tabs>
        <w:ind w:hanging="360" w:start="0" w:end="-180"/>
        <w:rPr/>
      </w:pPr>
      <w:r>
        <w:rPr>
          <w:u w:val="single"/>
        </w:rPr>
        <w:t>PricewaterhouseCoopers</w:t>
      </w:r>
      <w:r>
        <w:rPr/>
        <w:t xml:space="preserve"> told summer hires that its management consulting unit “is not bringing in new full-time hires at this time, nor are they planning any fall campus recruiting activities for this year,” according to an internal memo dated August 2.</w:t>
      </w:r>
    </w:p>
    <w:p>
      <w:pPr>
        <w:pStyle w:val="Normal"/>
        <w:ind w:end="-180"/>
        <w:jc w:val="both"/>
        <w:rPr>
          <w:sz w:val="8"/>
        </w:rPr>
      </w:pPr>
      <w:r>
        <w:rPr>
          <w:sz w:val="8"/>
        </w:rPr>
      </w:r>
    </w:p>
    <w:p>
      <w:pPr>
        <w:pStyle w:val="Normal"/>
        <w:numPr>
          <w:ilvl w:val="0"/>
          <w:numId w:val="3"/>
        </w:numPr>
        <w:tabs>
          <w:tab w:val="clear" w:pos="720"/>
          <w:tab w:val="left" w:pos="0" w:leader="none"/>
        </w:tabs>
        <w:ind w:hanging="360" w:start="0" w:end="-180"/>
        <w:jc w:val="both"/>
        <w:rPr/>
      </w:pPr>
      <w:r>
        <w:rPr>
          <w:u w:val="single"/>
        </w:rPr>
        <w:t>Booz Allen &amp; Hamilton's</w:t>
      </w:r>
      <w:r>
        <w:rPr/>
        <w:t xml:space="preserve"> commercial division is not expecting to recruit second-year MBA students who haven't previously worked for the firm. That pool usually makes up about 30 percent of the commercial division's annual hires.</w:t>
      </w:r>
    </w:p>
    <w:p>
      <w:pPr>
        <w:pStyle w:val="Normal"/>
        <w:ind w:end="-180"/>
        <w:jc w:val="both"/>
        <w:rPr>
          <w:sz w:val="8"/>
        </w:rPr>
      </w:pPr>
      <w:r>
        <w:rPr>
          <w:sz w:val="8"/>
        </w:rPr>
      </w:r>
    </w:p>
    <w:p>
      <w:pPr>
        <w:pStyle w:val="Normal"/>
        <w:numPr>
          <w:ilvl w:val="0"/>
          <w:numId w:val="3"/>
        </w:numPr>
        <w:tabs>
          <w:tab w:val="clear" w:pos="720"/>
          <w:tab w:val="left" w:pos="0" w:leader="none"/>
        </w:tabs>
        <w:ind w:hanging="360" w:start="0" w:end="-180"/>
        <w:jc w:val="both"/>
        <w:rPr/>
      </w:pPr>
      <w:r>
        <w:rPr>
          <w:u w:val="single"/>
        </w:rPr>
        <w:t>A.T. Kearney</w:t>
      </w:r>
      <w:r>
        <w:rPr/>
        <w:t xml:space="preserve"> told the summer associates it expects to meet all hiring needs in 2002 from among this group.  They don't expect to have any on-campus recruiting for full-time 2002 positions.</w:t>
      </w:r>
    </w:p>
    <w:p>
      <w:pPr>
        <w:pStyle w:val="Normal"/>
        <w:ind w:start="-360" w:end="-180"/>
        <w:jc w:val="both"/>
        <w:rPr>
          <w:sz w:val="8"/>
        </w:rPr>
      </w:pPr>
      <w:r>
        <w:rPr>
          <w:sz w:val="8"/>
        </w:rPr>
      </w:r>
    </w:p>
    <w:p>
      <w:pPr>
        <w:pStyle w:val="Normal"/>
        <w:ind w:start="-360" w:end="-180"/>
        <w:jc w:val="both"/>
        <w:rPr/>
      </w:pPr>
      <w:r>
        <w:rPr/>
        <w:t xml:space="preserve">Campus career development offices confirmed consulting firm cancellations for the customary October-to-December visits and warned of scaled-back hiring from those who plan to show up. </w:t>
      </w:r>
    </w:p>
    <w:p>
      <w:pPr>
        <w:pStyle w:val="Normal"/>
        <w:ind w:start="-360" w:end="-180"/>
        <w:jc w:val="both"/>
        <w:rPr>
          <w:sz w:val="8"/>
        </w:rPr>
      </w:pPr>
      <w:r>
        <w:rPr>
          <w:sz w:val="8"/>
        </w:rPr>
      </w:r>
    </w:p>
    <w:p>
      <w:pPr>
        <w:pStyle w:val="BlockText"/>
        <w:rPr/>
      </w:pPr>
      <w:r>
        <w:rPr/>
        <w:t>In addition, as few as 5 percent of consultants are leaving their jobs these days, down from 15 to 25 percent just a few years ago, the firms said.</w:t>
      </w:r>
    </w:p>
    <w:p>
      <w:pPr>
        <w:pStyle w:val="Normal"/>
        <w:ind w:start="-360" w:end="-180"/>
        <w:jc w:val="center"/>
        <w:rPr>
          <w:b/>
          <w:bCs/>
          <w:shadow/>
          <w:sz w:val="22"/>
          <w:u w:val="single"/>
        </w:rPr>
      </w:pPr>
      <w:r>
        <w:rPr>
          <w:b/>
          <w:bCs/>
          <w:shadow/>
          <w:sz w:val="22"/>
          <w:u w:val="single"/>
        </w:rPr>
      </w:r>
    </w:p>
    <w:p>
      <w:pPr>
        <w:pStyle w:val="Normal"/>
        <w:ind w:start="-360" w:end="-180"/>
        <w:rPr>
          <w:b/>
          <w:bCs/>
          <w:shadow/>
          <w:sz w:val="22"/>
          <w:u w:val="single"/>
        </w:rPr>
      </w:pPr>
      <w:r>
        <w:rPr>
          <w:b/>
          <w:bCs/>
          <w:shadow/>
          <w:sz w:val="22"/>
          <w:u w:val="single"/>
        </w:rPr>
      </w:r>
    </w:p>
    <w:p>
      <w:pPr>
        <w:pStyle w:val="Normal"/>
        <w:ind w:start="-360" w:end="-180"/>
        <w:jc w:val="center"/>
        <w:rPr/>
      </w:pPr>
      <w:r>
        <w:rPr>
          <w:b/>
          <w:bCs/>
          <w:shadow/>
          <w:sz w:val="22"/>
          <w:u w:val="single"/>
        </w:rPr>
        <w:t xml:space="preserve">Workforce News </w:t>
      </w:r>
      <w:r>
        <w:rPr>
          <w:b/>
          <w:bCs/>
          <w:shadow/>
        </w:rPr>
        <w:t>(Cont.)</w:t>
      </w:r>
    </w:p>
    <w:p>
      <w:pPr>
        <w:pStyle w:val="Normal"/>
        <w:ind w:start="-360" w:end="-180"/>
        <w:jc w:val="both"/>
        <w:rPr>
          <w:b/>
          <w:bCs/>
          <w:shadow/>
          <w:sz w:val="24"/>
        </w:rPr>
      </w:pPr>
      <w:r>
        <w:rPr>
          <w:b/>
          <w:bCs/>
          <w:shadow/>
          <w:sz w:val="24"/>
        </w:rPr>
      </w:r>
    </w:p>
    <w:p>
      <w:pPr>
        <w:pStyle w:val="BlockText"/>
        <w:rPr>
          <w:b/>
          <w:bCs/>
          <w:u w:val="single"/>
        </w:rPr>
      </w:pPr>
      <w:r>
        <w:rPr>
          <w:b/>
          <w:bCs/>
          <w:u w:val="single"/>
        </w:rPr>
        <w:t>Job Cuts Nearing 1 Million for 2001</w:t>
      </w:r>
    </w:p>
    <w:p>
      <w:pPr>
        <w:pStyle w:val="BlockText"/>
        <w:rPr/>
      </w:pPr>
      <w:r>
        <w:rPr/>
        <w:t xml:space="preserve">Companies in July announced plans to cut 205,975 jobs, the largest monthly total of job cuts since its tracking began in 1993, outplacement firm Challenger, Gray &amp; Christmas Inc. reported.  The new figures bring the seven-month total in 2001 up to 983,337 job cuts announced, more than 200,000 above the largest annual cut of the last decade, the report said. </w:t>
      </w:r>
    </w:p>
    <w:p>
      <w:pPr>
        <w:pStyle w:val="BlockText"/>
        <w:rPr>
          <w:rFonts w:eastAsia="Tahoma"/>
          <w:sz w:val="8"/>
        </w:rPr>
      </w:pPr>
      <w:r>
        <w:rPr>
          <w:rFonts w:eastAsia="Tahoma"/>
          <w:sz w:val="8"/>
        </w:rPr>
        <w:t xml:space="preserve"> </w:t>
      </w:r>
    </w:p>
    <w:p>
      <w:pPr>
        <w:pStyle w:val="BlockText"/>
        <w:rPr/>
      </w:pPr>
      <w:r>
        <w:rPr/>
        <w:t xml:space="preserve">The July figures are 65 percent higher than the 124,852 job-cut announcements recorded in June and more than three times the 63,967 seen in July 2000, the report said. </w:t>
      </w:r>
    </w:p>
    <w:p>
      <w:pPr>
        <w:pStyle w:val="BlockText"/>
        <w:rPr>
          <w:sz w:val="8"/>
        </w:rPr>
      </w:pPr>
      <w:r>
        <w:rPr>
          <w:sz w:val="8"/>
        </w:rPr>
      </w:r>
    </w:p>
    <w:p>
      <w:pPr>
        <w:pStyle w:val="BlockText"/>
        <w:rPr/>
      </w:pPr>
      <w:r>
        <w:rPr/>
        <w:t xml:space="preserve">Industries announcing the most job cuts in July were telecommunications, computer, and electronics. So far in 2001, the three sectors have announced 358,375 planned cuts, the report said. </w:t>
      </w:r>
    </w:p>
    <w:p>
      <w:pPr>
        <w:pStyle w:val="BlockText"/>
        <w:rPr>
          <w:b/>
          <w:bCs/>
          <w:sz w:val="32"/>
          <w:u w:val="single"/>
        </w:rPr>
      </w:pPr>
      <w:r>
        <w:rPr>
          <w:b/>
          <w:bCs/>
          <w:sz w:val="32"/>
          <w:u w:val="single"/>
        </w:rPr>
      </w:r>
    </w:p>
    <w:p>
      <w:pPr>
        <w:pStyle w:val="BlockText"/>
        <w:rPr>
          <w:b/>
          <w:bCs/>
          <w:u w:val="single"/>
        </w:rPr>
      </w:pPr>
      <w:r>
        <w:rPr>
          <w:b/>
          <w:bCs/>
          <w:u w:val="single"/>
        </w:rPr>
        <w:t>Despite Cooling Economy, IT Workers With "Hot" Skills See Sizeable Pay Raises</w:t>
      </w:r>
    </w:p>
    <w:p>
      <w:pPr>
        <w:pStyle w:val="BlockText"/>
        <w:rPr/>
      </w:pPr>
      <w:r>
        <w:rPr/>
        <w:t>IT professionals with "hot" skills (skills in short supply and high demand, resulting in rapid changes in market value) are still receiving pay and perks comparable to -- if not higher than -- past years, according to the new Hewitt Associates "2001 U.S. HOT Technologies Survey."</w:t>
      </w:r>
    </w:p>
    <w:p>
      <w:pPr>
        <w:pStyle w:val="BlockText"/>
        <w:rPr/>
      </w:pPr>
      <w:r>
        <w:rPr/>
      </w:r>
    </w:p>
    <w:p>
      <w:pPr>
        <w:pStyle w:val="BlockText"/>
        <w:rPr/>
      </w:pPr>
      <w:r>
        <w:rPr/>
        <w:t>Hewitt surveyed 198 companies, reporting data on nearly 42,000 employees with hot skills, and found that the median increase for base pay during the last 12 months was 7.5 percent, while the median total cash increase (annual base salary plus bonuses received during the year) was more than 6 percent. In 2000, the median increase for base pay was nearly 5 percent and the median total cash increase was close to 6 percent.</w:t>
      </w:r>
    </w:p>
    <w:p>
      <w:pPr>
        <w:pStyle w:val="BlockText"/>
        <w:rPr/>
      </w:pPr>
      <w:r>
        <w:rPr/>
      </w:r>
    </w:p>
    <w:p>
      <w:pPr>
        <w:pStyle w:val="BlockText"/>
        <w:rPr/>
      </w:pPr>
      <w:r>
        <w:rPr/>
        <w:t xml:space="preserve">As for other types of compensation, approximately 61 percent of these hot skill employees received a bonus, which, on average, equaled 13 percent of base pay. The most common types of bonuses were planned individual (36 percent) and group incentive (30 percent). Meanwhile, 15 percent of employees received a long-term incentive such as stock options or grants. </w:t>
      </w:r>
    </w:p>
    <w:p>
      <w:pPr>
        <w:pStyle w:val="BlockText"/>
        <w:rPr/>
      </w:pPr>
      <w:r>
        <w:rPr/>
      </w:r>
    </w:p>
    <w:p>
      <w:pPr>
        <w:pStyle w:val="BlockText"/>
        <w:rPr/>
      </w:pPr>
      <w:r>
        <w:rPr/>
        <w:t>On average, the Fair Market Value of these incentives equaled 82 percent of base pay. (The method for determining Fair Market Value consists of multiplying the number of shares an employee receives by the Fair Market Value at the time of the grant.)</w:t>
      </w:r>
    </w:p>
    <w:p>
      <w:pPr>
        <w:pStyle w:val="BlockText"/>
        <w:rPr/>
      </w:pPr>
      <w:r>
        <w:rPr/>
      </w:r>
    </w:p>
    <w:p>
      <w:pPr>
        <w:pStyle w:val="BlockText"/>
        <w:rPr/>
      </w:pPr>
      <w:r>
        <w:rPr/>
        <w:t>The Hewitt study also shows that the median voluntary turnover rate for IS/IT employees and non-IS/IT employees was similar during the last 12 months, 11 percent and 12 percent, respectively. These figures are each down 1 percent from last year. Most companies reported that hot skill employees leave for promotions to higher-level jobs at other companies (41 percent ranking this the number one reason employees leave). Other reasons these employees left a company included a chance to learn the latest technology and lack of a defined career path (12 percent ranked each of these factors as the number one reason), followed by inadequate compensation (ranked as the number one reason by 10 percent of the companies surveyed).</w:t>
      </w:r>
    </w:p>
    <w:p>
      <w:pPr>
        <w:pStyle w:val="BlockText"/>
        <w:rPr/>
      </w:pPr>
      <w:r>
        <w:rPr/>
      </w:r>
    </w:p>
    <w:p>
      <w:pPr>
        <w:pStyle w:val="BlockText"/>
        <w:rPr/>
      </w:pPr>
      <w:r>
        <w:rPr/>
        <w:t>Conversely, 26 percent of these companies cite work/life balance as the main reason employees choose to stay with a company, while 25 percent believe company culture is the deciding factor.</w:t>
      </w:r>
    </w:p>
    <w:p>
      <w:pPr>
        <w:pStyle w:val="BlockText"/>
        <w:rPr/>
      </w:pPr>
      <w:r>
        <w:rPr/>
      </w:r>
    </w:p>
    <w:p>
      <w:pPr>
        <w:pStyle w:val="BlockText"/>
        <w:rPr/>
      </w:pPr>
      <w:r>
        <w:rPr/>
        <w:t>Meanwhile, 96 percent of the companies in this study said that the most common source for hot skill candidates was referrals, followed by the Internet at 92 percent and internal transfers at 88 percent. As for the effectiveness of these recruiting sources, 15 percent of IS/IT company hires in 2000 were attributed to employee referrals as well as the Internet, while 10 percent of these hires came from an internal transfer.</w:t>
      </w:r>
    </w:p>
    <w:p>
      <w:pPr>
        <w:pStyle w:val="BlockText"/>
        <w:rPr/>
      </w:pPr>
      <w:r>
        <w:rPr/>
      </w:r>
    </w:p>
    <w:p>
      <w:pPr>
        <w:pStyle w:val="BlockText"/>
        <w:rPr/>
      </w:pPr>
      <w:r>
        <w:rPr/>
      </w:r>
    </w:p>
    <w:p>
      <w:pPr>
        <w:pStyle w:val="BlockText"/>
        <w:rPr/>
      </w:pPr>
      <w:r>
        <w:rPr/>
      </w:r>
    </w:p>
    <w:p>
      <w:pPr>
        <w:pStyle w:val="Normal"/>
        <w:ind w:start="-360" w:end="-180"/>
        <w:jc w:val="center"/>
        <w:rPr>
          <w:b/>
          <w:bCs/>
          <w:shadow/>
          <w:sz w:val="22"/>
          <w:u w:val="single"/>
        </w:rPr>
      </w:pPr>
      <w:r>
        <w:rPr>
          <w:b/>
          <w:bCs/>
          <w:shadow/>
          <w:sz w:val="22"/>
          <w:u w:val="single"/>
        </w:rPr>
      </w:r>
    </w:p>
    <w:p>
      <w:pPr>
        <w:pStyle w:val="Normal"/>
        <w:ind w:start="-360" w:end="-180"/>
        <w:jc w:val="center"/>
        <w:rPr/>
      </w:pPr>
      <w:r>
        <w:rPr>
          <w:b/>
          <w:bCs/>
          <w:shadow/>
          <w:sz w:val="22"/>
          <w:u w:val="single"/>
        </w:rPr>
        <w:t xml:space="preserve">Workforce News </w:t>
      </w:r>
      <w:r>
        <w:rPr>
          <w:b/>
          <w:bCs/>
          <w:shadow/>
        </w:rPr>
        <w:t>(Cont.)</w:t>
      </w:r>
    </w:p>
    <w:p>
      <w:pPr>
        <w:pStyle w:val="Normal"/>
        <w:ind w:start="-360" w:end="-180"/>
        <w:jc w:val="both"/>
        <w:rPr>
          <w:b/>
          <w:bCs/>
          <w:shadow/>
        </w:rPr>
      </w:pPr>
      <w:r>
        <w:rPr>
          <w:b/>
          <w:bCs/>
          <w:shadow/>
        </w:rPr>
      </w:r>
    </w:p>
    <w:p>
      <w:pPr>
        <w:pStyle w:val="BlockText"/>
        <w:rPr>
          <w:b/>
          <w:bCs/>
          <w:u w:val="single"/>
        </w:rPr>
      </w:pPr>
      <w:r>
        <w:rPr>
          <w:b/>
          <w:bCs/>
          <w:u w:val="single"/>
        </w:rPr>
        <w:t>Investment Bank Job Cuts Reach 25,000</w:t>
      </w:r>
    </w:p>
    <w:p>
      <w:pPr>
        <w:pStyle w:val="BlockText"/>
        <w:rPr/>
      </w:pPr>
      <w:r>
        <w:rPr/>
        <w:t xml:space="preserve">A Financial Times survey found that job cuts in investment banking were over 25,000 so far this year. JP Morgan Chase and Credit Suisse First Boston had the biggest cuts because of integrating acquisitions. This was also true at Deutsche Bank and ABN Amro. But most job losses reflected the severe downturn in capital market activities. </w:t>
      </w:r>
    </w:p>
    <w:p>
      <w:pPr>
        <w:pStyle w:val="BlockText"/>
        <w:rPr>
          <w:sz w:val="8"/>
        </w:rPr>
      </w:pPr>
      <w:r>
        <w:rPr>
          <w:sz w:val="8"/>
        </w:rPr>
      </w:r>
    </w:p>
    <w:p>
      <w:pPr>
        <w:pStyle w:val="BlockText"/>
        <w:rPr/>
      </w:pPr>
      <w:r>
        <w:rPr/>
        <w:t xml:space="preserve">July volumes of M&amp;As remained 34 percent below the monthly average for last year in Europe and 54 percent lower in the US.  There was a similar story for equity volumes, global equity underwriting, high-yield bond issuance and investment-grade bond issuance. </w:t>
      </w:r>
    </w:p>
    <w:p>
      <w:pPr>
        <w:pStyle w:val="BlockText"/>
        <w:rPr>
          <w:sz w:val="8"/>
        </w:rPr>
      </w:pPr>
      <w:r>
        <w:rPr>
          <w:sz w:val="8"/>
        </w:rPr>
      </w:r>
    </w:p>
    <w:p>
      <w:pPr>
        <w:pStyle w:val="BlockText"/>
        <w:rPr/>
      </w:pPr>
      <w:r>
        <w:rPr/>
        <w:t xml:space="preserve">Bankers say they will be forced to get much more aggressive if there is no improvement in business in the autumn.  Banks including Schroder Salomon Smith Barney, JP Morgan and CSFB are believed to be bracing themselves for further losses of staff. </w:t>
      </w:r>
    </w:p>
    <w:p>
      <w:pPr>
        <w:pStyle w:val="BlockText"/>
        <w:rPr>
          <w:sz w:val="8"/>
        </w:rPr>
      </w:pPr>
      <w:r>
        <w:rPr>
          <w:sz w:val="8"/>
        </w:rPr>
      </w:r>
    </w:p>
    <w:p>
      <w:pPr>
        <w:pStyle w:val="BlockText"/>
        <w:rPr/>
      </w:pPr>
      <w:r>
        <w:rPr/>
        <w:t xml:space="preserve">Job cuts have occurred most in the US, but London has also been hit hard.  In addition, most of Deutsche's cuts have been in Frankfurt, most of ABN's in Amsterdam and most of Dresdner Kleinwort Wasserstein's will fall in Asia. </w:t>
      </w:r>
    </w:p>
    <w:p>
      <w:pPr>
        <w:pStyle w:val="BlockText"/>
        <w:rPr>
          <w:sz w:val="10"/>
        </w:rPr>
      </w:pPr>
      <w:r>
        <w:rPr>
          <w:sz w:val="10"/>
        </w:rPr>
      </w:r>
    </w:p>
    <w:tbl>
      <w:tblPr>
        <w:tblW w:w="9578" w:type="dxa"/>
        <w:jc w:val="start"/>
        <w:tblInd w:w="-360" w:type="dxa"/>
        <w:tblLayout w:type="fixed"/>
        <w:tblCellMar>
          <w:top w:w="0" w:type="dxa"/>
          <w:start w:w="0" w:type="dxa"/>
          <w:bottom w:w="0" w:type="dxa"/>
          <w:end w:w="0" w:type="dxa"/>
        </w:tblCellMar>
      </w:tblPr>
      <w:tblGrid>
        <w:gridCol w:w="9578"/>
      </w:tblGrid>
      <w:tr>
        <w:trPr/>
        <w:tc>
          <w:tcPr>
            <w:tcW w:w="9578" w:type="dxa"/>
            <w:tcBorders/>
            <w:vAlign w:val="center"/>
          </w:tcPr>
          <w:p>
            <w:pPr>
              <w:pStyle w:val="NormalWeb"/>
              <w:spacing w:before="100" w:after="100"/>
              <w:jc w:val="center"/>
              <w:rPr>
                <w:rFonts w:ascii="Tahoma" w:hAnsi="Tahoma" w:cs="Tahoma"/>
              </w:rPr>
            </w:pPr>
            <w:r>
              <w:rPr>
                <w:rFonts w:cs="Tahoma" w:ascii="Tahoma" w:hAnsi="Tahoma"/>
                <w:b/>
                <w:bCs/>
                <w:color w:val="330033"/>
                <w:shd w:fill="FFCC99" w:val="clear"/>
              </w:rPr>
              <w:t>Banking and Brokerage Job Cuts</w:t>
            </w:r>
          </w:p>
          <w:tbl>
            <w:tblPr>
              <w:tblpPr w:vertAnchor="text" w:horzAnchor="text" w:tblpXSpec="left" w:tblpY="0"/>
              <w:tblW w:w="5000" w:type="pct"/>
              <w:jc w:val="start"/>
              <w:tblInd w:w="15" w:type="dxa"/>
              <w:tblLayout w:type="fixed"/>
              <w:tblCellMar>
                <w:top w:w="15" w:type="dxa"/>
                <w:start w:w="15" w:type="dxa"/>
                <w:bottom w:w="15" w:type="dxa"/>
                <w:end w:w="15" w:type="dxa"/>
              </w:tblCellMar>
            </w:tblPr>
            <w:tblGrid>
              <w:gridCol w:w="1252"/>
              <w:gridCol w:w="2340"/>
              <w:gridCol w:w="900"/>
              <w:gridCol w:w="5040"/>
            </w:tblGrid>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shd w:fill="EEEEEE" w:val="clear"/>
                </w:tcPr>
                <w:p>
                  <w:pPr>
                    <w:pStyle w:val="Normal"/>
                    <w:jc w:val="center"/>
                    <w:rPr>
                      <w:rFonts w:eastAsia="Arial Unicode MS"/>
                      <w:b/>
                      <w:bCs/>
                    </w:rPr>
                  </w:pPr>
                  <w:r>
                    <w:rPr>
                      <w:b/>
                      <w:bCs/>
                      <w:color w:val="000000"/>
                      <w:szCs w:val="15"/>
                    </w:rPr>
                    <w:t>DATE</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shd w:fill="EEEEEE" w:val="clear"/>
                </w:tcPr>
                <w:p>
                  <w:pPr>
                    <w:pStyle w:val="Normal"/>
                    <w:jc w:val="center"/>
                    <w:rPr>
                      <w:rFonts w:eastAsia="Arial Unicode MS"/>
                      <w:b/>
                      <w:bCs/>
                    </w:rPr>
                  </w:pPr>
                  <w:r>
                    <w:rPr>
                      <w:b/>
                      <w:bCs/>
                      <w:color w:val="000000"/>
                      <w:szCs w:val="15"/>
                    </w:rPr>
                    <w:t>COMPANIES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shd w:fill="EEEEEE" w:val="clear"/>
                </w:tcPr>
                <w:p>
                  <w:pPr>
                    <w:pStyle w:val="Normal"/>
                    <w:jc w:val="center"/>
                    <w:rPr>
                      <w:rFonts w:eastAsia="Arial Unicode MS"/>
                      <w:b/>
                      <w:bCs/>
                    </w:rPr>
                  </w:pPr>
                  <w:r>
                    <w:rPr>
                      <w:b/>
                      <w:bCs/>
                      <w:color w:val="000000"/>
                      <w:szCs w:val="15"/>
                    </w:rPr>
                    <w:t>JOBS CUT</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shd w:fill="EEEEEE" w:val="clear"/>
                </w:tcPr>
                <w:p>
                  <w:pPr>
                    <w:pStyle w:val="Normal"/>
                    <w:jc w:val="center"/>
                    <w:rPr>
                      <w:rFonts w:eastAsia="Arial Unicode MS"/>
                      <w:b/>
                      <w:bCs/>
                    </w:rPr>
                  </w:pPr>
                  <w:r>
                    <w:rPr>
                      <w:b/>
                      <w:bCs/>
                      <w:color w:val="000000"/>
                      <w:szCs w:val="15"/>
                    </w:rPr>
                    <w:t>SCALE OF CUT</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August 14</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Citigroup</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3,500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Header"/>
                    <w:tabs>
                      <w:tab w:val="clear" w:pos="4320"/>
                      <w:tab w:val="clear" w:pos="8640"/>
                    </w:tabs>
                    <w:jc w:val="center"/>
                    <w:rPr/>
                  </w:pPr>
                  <w:r>
                    <w:rPr/>
                    <w:t>2%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July 27</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TD Waterhouse</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600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9%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July 27</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DrKW</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1,500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17%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July 22</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Goldman Sachs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300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ind w:start="720" w:end="0"/>
                    <w:jc w:val="center"/>
                    <w:rPr/>
                  </w:pPr>
                  <w:r>
                    <w:rPr/>
                    <w:t>Human resources worker</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July 16</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Société Générale</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200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Investment banking cuts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May 31</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CSFBdirect</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180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14% of its domestic employees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May 8</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Merrill Lynch</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900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20 % of fund management arm</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May 3</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CSFB</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200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13% of investment bankers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30</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ABN Amro</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500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Mainly from equities business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26</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TD Waterhouse</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1,500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18%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25</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Morgan Stanley</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1,500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4% of securities and investment management units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24</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Merrill Lynch</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200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Between 5% and 10%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20</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Bear Stearns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400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3%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6</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CSFB</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400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Affecting support staff</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April 4</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Citigroup</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750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Includes Schroder Salomon Smith Barney</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31</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Ameritrade</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170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Mainly from US call centres</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27</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Robertson Stephens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80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5%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23</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Charles Schwab</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3,400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13% of its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15</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CSFBDirect</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150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10% of its US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7</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Datek</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131</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10% of its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March 2</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Goldman Sachs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650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5% of workforce</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February 27</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Brewin Dolphin</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60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From Stocktrade subsidiary</w:t>
                  </w:r>
                </w:p>
              </w:tc>
            </w:tr>
            <w:tr>
              <w:trPr/>
              <w:tc>
                <w:tcPr>
                  <w:tcW w:w="125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January 29</w:t>
                  </w:r>
                </w:p>
              </w:tc>
              <w:tc>
                <w:tcPr>
                  <w:tcW w:w="23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ING Barings</w:t>
                  </w:r>
                </w:p>
              </w:tc>
              <w:tc>
                <w:tcPr>
                  <w:tcW w:w="90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1,100</w:t>
                  </w:r>
                </w:p>
              </w:tc>
              <w:tc>
                <w:tcPr>
                  <w:tcW w:w="50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jc w:val="center"/>
                    <w:rPr/>
                  </w:pPr>
                  <w:r>
                    <w:rPr/>
                    <w:t>Mostly support staff outside US</w:t>
                  </w:r>
                </w:p>
              </w:tc>
            </w:tr>
          </w:tbl>
          <w:p>
            <w:pPr>
              <w:pStyle w:val="Normal"/>
              <w:jc w:val="center"/>
              <w:rPr>
                <w:rFonts w:eastAsia="Arial Unicode MS"/>
              </w:rPr>
            </w:pPr>
            <w:r>
              <w:rPr>
                <w:rFonts w:eastAsia="Arial Unicode MS"/>
              </w:rPr>
            </w:r>
          </w:p>
        </w:tc>
      </w:tr>
      <w:tr>
        <w:trPr/>
        <w:tc>
          <w:tcPr>
            <w:tcW w:w="9578" w:type="dxa"/>
            <w:tcBorders/>
            <w:vAlign w:val="center"/>
          </w:tcPr>
          <w:p>
            <w:pPr>
              <w:pStyle w:val="Header"/>
              <w:tabs>
                <w:tab w:val="clear" w:pos="4320"/>
                <w:tab w:val="clear" w:pos="8640"/>
              </w:tabs>
              <w:rPr>
                <w:rFonts w:eastAsia="Arial Unicode MS"/>
                <w:i/>
                <w:i/>
                <w:iCs/>
              </w:rPr>
            </w:pPr>
            <w:r>
              <w:rPr>
                <w:rFonts w:eastAsia="Arial Unicode MS"/>
                <w:i/>
                <w:iCs/>
              </w:rPr>
              <w:t>Source: Financial Times</w:t>
            </w:r>
          </w:p>
        </w:tc>
      </w:tr>
    </w:tbl>
    <w:p>
      <w:pPr>
        <w:pStyle w:val="BlockText"/>
        <w:jc w:val="center"/>
        <w:rPr/>
      </w:pPr>
      <w:r>
        <w:rPr/>
      </w:r>
    </w:p>
    <w:p>
      <w:pPr>
        <w:pStyle w:val="BlockText"/>
        <w:jc w:val="center"/>
        <w:rPr>
          <w:b/>
          <w:bCs/>
          <w:shadow/>
          <w:sz w:val="22"/>
          <w:u w:val="single"/>
        </w:rPr>
      </w:pPr>
      <w:r>
        <w:rPr>
          <w:b/>
          <w:bCs/>
          <w:shadow/>
          <w:sz w:val="22"/>
          <w:u w:val="single"/>
        </w:rPr>
        <w:t>UK News</w:t>
      </w:r>
    </w:p>
    <w:p>
      <w:pPr>
        <w:pStyle w:val="BlockText"/>
        <w:rPr>
          <w:b/>
          <w:bCs/>
          <w:shadow/>
          <w:sz w:val="22"/>
          <w:u w:val="single"/>
        </w:rPr>
      </w:pPr>
      <w:r>
        <w:rPr>
          <w:b/>
          <w:bCs/>
          <w:shadow/>
          <w:sz w:val="22"/>
          <w:u w:val="single"/>
        </w:rPr>
      </w:r>
    </w:p>
    <w:p>
      <w:pPr>
        <w:pStyle w:val="BlockText"/>
        <w:rPr>
          <w:b/>
          <w:bCs/>
          <w:u w:val="single"/>
        </w:rPr>
      </w:pPr>
      <w:r>
        <w:rPr>
          <w:b/>
          <w:bCs/>
          <w:u w:val="single"/>
        </w:rPr>
        <w:t>Investment Banking Compensation</w:t>
      </w:r>
    </w:p>
    <w:p>
      <w:pPr>
        <w:pStyle w:val="BlockText"/>
        <w:rPr/>
      </w:pPr>
      <w:r>
        <w:rPr/>
        <w:t xml:space="preserve">Société Générale is cutting bonus guarantees in its investment banking operations worldwide.  It currently employs around 10,000 investment bankers and the move is designed to save tens of millions of euros. The next round of bonuses will not be affected but after that the savings will be implemented. </w:t>
      </w:r>
    </w:p>
    <w:p>
      <w:pPr>
        <w:pStyle w:val="BlockText"/>
        <w:rPr>
          <w:sz w:val="10"/>
        </w:rPr>
      </w:pPr>
      <w:r>
        <w:rPr>
          <w:sz w:val="10"/>
        </w:rPr>
      </w:r>
    </w:p>
    <w:p>
      <w:pPr>
        <w:pStyle w:val="BlockText"/>
        <w:rPr/>
      </w:pPr>
      <w:r>
        <w:rPr/>
        <w:t xml:space="preserve">The Wall Street Journal Europe carried a report that Credit Suisse First Boston is asking some of its executives to renegotiate their guaranteed pay packets. </w:t>
      </w:r>
    </w:p>
    <w:p>
      <w:pPr>
        <w:pStyle w:val="BlockText"/>
        <w:rPr>
          <w:sz w:val="10"/>
        </w:rPr>
      </w:pPr>
      <w:r>
        <w:rPr>
          <w:sz w:val="10"/>
        </w:rPr>
      </w:r>
    </w:p>
    <w:p>
      <w:pPr>
        <w:pStyle w:val="BlockText"/>
        <w:rPr/>
      </w:pPr>
      <w:r>
        <w:rPr/>
        <w:t xml:space="preserve">Many banks in the Square Mile already have hiring freezes in place, according to recruiters.  The number of redundancies officially announced is considerably less than the actual figure as a result of banks not wanting to draw attention to the situation, they said. </w:t>
      </w:r>
    </w:p>
    <w:sectPr>
      <w:headerReference w:type="default" r:id="rId8"/>
      <w:headerReference w:type="first" r:id="rId9"/>
      <w:footerReference w:type="default" r:id="rId10"/>
      <w:footerReference w:type="first" r:id="rId11"/>
      <w:type w:val="nextPage"/>
      <w:pgSz w:w="12240" w:h="15840"/>
      <w:pgMar w:left="1800" w:right="1620" w:gutter="0" w:header="720" w:top="1440" w:footer="720" w:bottom="776"/>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Arial">
    <w:altName w:val=" helvetic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1" w:color="000000"/>
        <w:left w:val="single" w:sz="18" w:space="4" w:color="000000"/>
        <w:bottom w:val="single" w:sz="18" w:space="1" w:color="000000"/>
        <w:right w:val="single" w:sz="18" w:space="4" w:color="000000"/>
      </w:pBdr>
      <w:ind w:end="360"/>
      <w:rPr>
        <w:b/>
        <w:bCs/>
        <w:smallCaps/>
        <w:emboss/>
        <w:color w:val="003366"/>
        <w:sz w:val="36"/>
      </w:rPr>
    </w:pPr>
    <w:r>
      <w:rPr>
        <w:b/>
        <w:bCs/>
        <w:smallCaps/>
        <w:emboss/>
        <w:color w:val="003366"/>
        <w:sz w:val="36"/>
      </w:rPr>
      <w:tab/>
      <w:t>Enron HR Newsletter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ind w:start="360" w:hanging="360"/>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36"/>
    </w:rPr>
  </w:style>
  <w:style w:type="paragraph" w:styleId="Heading2">
    <w:name w:val="heading 2"/>
    <w:basedOn w:val="Normal"/>
    <w:next w:val="Normal"/>
    <w:qFormat/>
    <w:pPr>
      <w:keepNext w:val="true"/>
      <w:numPr>
        <w:ilvl w:val="1"/>
        <w:numId w:val="1"/>
      </w:numPr>
      <w:jc w:val="center"/>
      <w:outlineLvl w:val="1"/>
    </w:pPr>
    <w:rPr>
      <w:rFonts w:ascii="Tahoma" w:hAnsi="Tahoma" w:cs="Tahoma"/>
      <w:b/>
      <w:bCs/>
      <w:sz w:val="36"/>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jc w:val="both"/>
      <w:outlineLvl w:val="3"/>
    </w:pPr>
    <w:rPr>
      <w:b/>
      <w:bCs/>
      <w:u w:val="single"/>
    </w:rPr>
  </w:style>
  <w:style w:type="paragraph" w:styleId="Heading5">
    <w:name w:val="heading 5"/>
    <w:basedOn w:val="Normal"/>
    <w:next w:val="Normal"/>
    <w:qFormat/>
    <w:pPr>
      <w:keepNext w:val="true"/>
      <w:numPr>
        <w:ilvl w:val="4"/>
        <w:numId w:val="1"/>
      </w:numPr>
      <w:autoSpaceDE w:val="false"/>
      <w:jc w:val="center"/>
      <w:outlineLvl w:val="4"/>
    </w:pPr>
    <w:rPr>
      <w:b/>
      <w:bCs/>
      <w:sz w:val="22"/>
      <w:u w:val="single"/>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outlineLvl w:val="8"/>
    </w:pPr>
    <w:rPr>
      <w:b/>
      <w:bCs/>
      <w:color w:val="FFFFFF"/>
      <w:sz w:val="24"/>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eastAsia="Times New Roman" w:cs="Tahoma"/>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Symbol" w:hAnsi="Symbol" w:eastAsia="Times New Roman" w:cs="Tahoma"/>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gmtlong">
    <w:name w:val="gmtlong"/>
    <w:basedOn w:val="DefaultParagraph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cs="Courier New"/>
      <w:szCs w:val="20"/>
    </w:rPr>
  </w:style>
  <w:style w:type="character" w:styleId="Emphasis">
    <w:name w:val="Emphasis"/>
    <w:basedOn w:val="DefaultParagraphFont"/>
    <w:qFormat/>
    <w:rPr>
      <w:i/>
      <w:iCs/>
    </w:rPr>
  </w:style>
  <w:style w:type="character" w:styleId="Keyboard">
    <w:name w:val="Keyboard"/>
    <w:qFormat/>
    <w:rPr>
      <w:rFonts w:ascii="Courier New" w:hAnsi="Courier New" w:cs="Courier New"/>
      <w:b/>
      <w:bCs/>
      <w:szCs w:val="20"/>
    </w:rPr>
  </w:style>
  <w:style w:type="character" w:styleId="Sample">
    <w:name w:val="Sample"/>
    <w:qFormat/>
    <w:rPr>
      <w:rFonts w:ascii="Courier New" w:hAnsi="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cs="Courier New"/>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i/>
      <w:sz w:val="7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Tahoma" w:hAnsi="Tahoma" w:cs="Tahom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Indent">
    <w:name w:val="Body Text Indent"/>
    <w:basedOn w:val="Normal"/>
    <w:pPr>
      <w:ind w:hanging="0" w:start="-180" w:end="0"/>
      <w:jc w:val="center"/>
    </w:pPr>
    <w:rPr>
      <w:b/>
      <w:bCs/>
      <w:i/>
      <w:iCs/>
    </w:rPr>
  </w:style>
  <w:style w:type="paragraph" w:styleId="BodyTextIndent2">
    <w:name w:val="Body Text Indent 2"/>
    <w:basedOn w:val="Normal"/>
    <w:qFormat/>
    <w:pPr>
      <w:ind w:hanging="0" w:start="720" w:end="0"/>
    </w:pPr>
    <w:rPr>
      <w:rFonts w:eastAsia="Arial Unicode MS"/>
      <w:color w:val="000000"/>
      <w:sz w:val="16"/>
    </w:rPr>
  </w:style>
  <w:style w:type="paragraph" w:styleId="BodyTextIndent3">
    <w:name w:val="Body Text Indent 3"/>
    <w:basedOn w:val="Normal"/>
    <w:qFormat/>
    <w:pPr>
      <w:ind w:firstLine="60" w:start="720" w:end="0"/>
      <w:jc w:val="both"/>
    </w:pPr>
    <w:rPr>
      <w:rFonts w:eastAsia="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Cs w:val="20"/>
    </w:rPr>
  </w:style>
  <w:style w:type="paragraph" w:styleId="BlockText">
    <w:name w:val="Block Text"/>
    <w:basedOn w:val="Normal"/>
    <w:qFormat/>
    <w:pPr>
      <w:ind w:hanging="0" w:start="-360" w:end="-180"/>
      <w:jc w:val="both"/>
    </w:pPr>
    <w:rPr/>
  </w:style>
  <w:style w:type="paragraph" w:styleId="all">
    <w:name w:val="all"/>
    <w:basedOn w:val="Normal"/>
    <w:qFormat/>
    <w:pPr>
      <w:spacing w:before="100" w:after="100"/>
    </w:pPr>
    <w:rPr>
      <w:rFonts w:ascii="Arial; helvetica" w:hAnsi="Arial; helvetica" w:eastAsia="Arial Unicode MS" w:cs="Arial; helvetica"/>
      <w:sz w:val="17"/>
      <w:szCs w:val="17"/>
    </w:rPr>
  </w:style>
  <w:style w:type="paragraph" w:styleId="allbold">
    <w:name w:val="allbold"/>
    <w:basedOn w:val="Normal"/>
    <w:qFormat/>
    <w:pPr>
      <w:spacing w:before="100" w:after="100"/>
    </w:pPr>
    <w:rPr>
      <w:rFonts w:ascii="Arial; helvetica" w:hAnsi="Arial; helvetica" w:eastAsia="Arial Unicode MS" w:cs="Arial; helvetica"/>
      <w:b/>
      <w:bCs/>
      <w:color w:val="000000"/>
      <w:sz w:val="17"/>
      <w:szCs w:val="17"/>
    </w:rPr>
  </w:style>
  <w:style w:type="paragraph" w:styleId="allred">
    <w:name w:val="allred"/>
    <w:basedOn w:val="Normal"/>
    <w:qFormat/>
    <w:pPr>
      <w:spacing w:before="100" w:after="100"/>
    </w:pPr>
    <w:rPr>
      <w:rFonts w:ascii="Arial; helvetica" w:hAnsi="Arial; helvetica" w:eastAsia="Arial Unicode MS" w:cs="Arial; helvetica"/>
      <w:color w:val="FF0000"/>
      <w:sz w:val="17"/>
      <w:szCs w:val="17"/>
    </w:rPr>
  </w:style>
  <w:style w:type="paragraph" w:styleId="allgreen">
    <w:name w:val="allgreen"/>
    <w:basedOn w:val="Normal"/>
    <w:qFormat/>
    <w:pPr>
      <w:spacing w:before="100" w:after="100"/>
    </w:pPr>
    <w:rPr>
      <w:rFonts w:ascii="Arial; helvetica" w:hAnsi="Arial; helvetica" w:eastAsia="Arial Unicode MS" w:cs="Arial; helvetica"/>
      <w:color w:val="006600"/>
      <w:sz w:val="17"/>
      <w:szCs w:val="17"/>
    </w:rPr>
  </w:style>
  <w:style w:type="paragraph" w:styleId="allblue">
    <w:name w:val="allblue"/>
    <w:basedOn w:val="Normal"/>
    <w:qFormat/>
    <w:pPr>
      <w:spacing w:before="100" w:after="100"/>
    </w:pPr>
    <w:rPr>
      <w:rFonts w:ascii="Arial; helvetica" w:hAnsi="Arial; helvetica" w:eastAsia="Arial Unicode MS" w:cs="Arial; helvetica"/>
      <w:color w:val="3300FF"/>
      <w:sz w:val="17"/>
      <w:szCs w:val="17"/>
    </w:rPr>
  </w:style>
  <w:style w:type="paragraph" w:styleId="allwide">
    <w:name w:val="allwide"/>
    <w:basedOn w:val="Normal"/>
    <w:qFormat/>
    <w:pPr>
      <w:spacing w:before="100" w:after="100"/>
    </w:pPr>
    <w:rPr>
      <w:rFonts w:ascii="Arial; helvetica" w:hAnsi="Arial; helvetica" w:eastAsia="Arial Unicode MS" w:cs="Arial; helvetica"/>
      <w:color w:val="000000"/>
      <w:sz w:val="18"/>
      <w:szCs w:val="18"/>
    </w:rPr>
  </w:style>
  <w:style w:type="paragraph" w:styleId="allwidered">
    <w:name w:val="allwidered"/>
    <w:basedOn w:val="Normal"/>
    <w:qFormat/>
    <w:pPr>
      <w:spacing w:before="100" w:after="100"/>
    </w:pPr>
    <w:rPr>
      <w:rFonts w:ascii="Arial; helvetica" w:hAnsi="Arial; helvetica" w:eastAsia="Arial Unicode MS" w:cs="Arial; helvetica"/>
      <w:color w:val="FF0000"/>
      <w:sz w:val="18"/>
      <w:szCs w:val="18"/>
    </w:rPr>
  </w:style>
  <w:style w:type="paragraph" w:styleId="allgold">
    <w:name w:val="allgold"/>
    <w:basedOn w:val="Normal"/>
    <w:qFormat/>
    <w:pPr>
      <w:spacing w:before="100" w:after="100"/>
    </w:pPr>
    <w:rPr>
      <w:rFonts w:ascii="Arial; helvetica" w:hAnsi="Arial; helvetica" w:eastAsia="Arial Unicode MS" w:cs="Arial; helvetica"/>
      <w:color w:val="996600"/>
      <w:sz w:val="15"/>
      <w:szCs w:val="15"/>
    </w:rPr>
  </w:style>
  <w:style w:type="paragraph" w:styleId="smallred">
    <w:name w:val="smallred"/>
    <w:basedOn w:val="Normal"/>
    <w:qFormat/>
    <w:pPr>
      <w:spacing w:before="100" w:after="100"/>
    </w:pPr>
    <w:rPr>
      <w:rFonts w:ascii="Arial; helvetica" w:hAnsi="Arial; helvetica" w:eastAsia="Arial Unicode MS" w:cs="Arial; helvetica"/>
      <w:color w:val="990000"/>
      <w:sz w:val="17"/>
      <w:szCs w:val="17"/>
    </w:rPr>
  </w:style>
  <w:style w:type="paragraph" w:styleId="smallpurple">
    <w:name w:val="smallpurple"/>
    <w:basedOn w:val="Normal"/>
    <w:qFormat/>
    <w:pPr>
      <w:spacing w:before="100" w:after="100"/>
    </w:pPr>
    <w:rPr>
      <w:rFonts w:ascii="Arial; helvetica" w:hAnsi="Arial; helvetica" w:eastAsia="Arial Unicode MS" w:cs="Arial; helvetica"/>
      <w:color w:val="660066"/>
      <w:sz w:val="17"/>
      <w:szCs w:val="17"/>
    </w:rPr>
  </w:style>
  <w:style w:type="paragraph" w:styleId="footerwhite">
    <w:name w:val="footerwhite"/>
    <w:basedOn w:val="Normal"/>
    <w:qFormat/>
    <w:pPr>
      <w:spacing w:before="100" w:after="100"/>
    </w:pPr>
    <w:rPr>
      <w:rFonts w:ascii="Arial; helvetica" w:hAnsi="Arial; helvetica" w:eastAsia="Arial Unicode MS" w:cs="Arial; helvetica"/>
      <w:color w:val="FFFFFF"/>
      <w:sz w:val="15"/>
      <w:szCs w:val="15"/>
    </w:rPr>
  </w:style>
  <w:style w:type="paragraph" w:styleId="headline">
    <w:name w:val="headline"/>
    <w:basedOn w:val="Normal"/>
    <w:qFormat/>
    <w:pPr>
      <w:spacing w:before="100" w:after="100"/>
    </w:pPr>
    <w:rPr>
      <w:rFonts w:ascii="Arial; helvetica" w:hAnsi="Arial; helvetica" w:eastAsia="Arial Unicode MS" w:cs="Arial; helvetica"/>
      <w:b/>
      <w:bCs/>
      <w:color w:val="996600"/>
      <w:sz w:val="24"/>
    </w:rPr>
  </w:style>
  <w:style w:type="paragraph" w:styleId="bigcrumb">
    <w:name w:val="bigcrumb"/>
    <w:basedOn w:val="Normal"/>
    <w:qFormat/>
    <w:pPr>
      <w:spacing w:before="100" w:after="100"/>
    </w:pPr>
    <w:rPr>
      <w:rFonts w:ascii="Arial; helvetica" w:hAnsi="Arial; helvetica" w:eastAsia="Arial Unicode MS" w:cs="Arial; helvetica"/>
      <w:b/>
      <w:bCs/>
      <w:color w:val="330033"/>
      <w:sz w:val="24"/>
    </w:rPr>
  </w:style>
  <w:style w:type="paragraph" w:styleId="bigcrumbhp">
    <w:name w:val="bigcrumbhp"/>
    <w:basedOn w:val="Normal"/>
    <w:qFormat/>
    <w:pPr>
      <w:spacing w:before="100" w:after="100"/>
    </w:pPr>
    <w:rPr>
      <w:rFonts w:ascii="Arial; helvetica" w:hAnsi="Arial; helvetica" w:eastAsia="Arial Unicode MS" w:cs="Arial; helvetica"/>
      <w:b/>
      <w:bCs/>
      <w:color w:val="990000"/>
      <w:sz w:val="24"/>
    </w:rPr>
  </w:style>
  <w:style w:type="paragraph" w:styleId="redlink">
    <w:name w:val="redlink"/>
    <w:basedOn w:val="Normal"/>
    <w:qFormat/>
    <w:pPr>
      <w:spacing w:before="100" w:after="100"/>
    </w:pPr>
    <w:rPr>
      <w:rFonts w:ascii="Arial; helvetica" w:hAnsi="Arial; helvetica" w:eastAsia="Arial Unicode MS" w:cs="Arial; helvetica"/>
      <w:color w:val="990000"/>
      <w:sz w:val="18"/>
      <w:szCs w:val="18"/>
    </w:rPr>
  </w:style>
  <w:style w:type="paragraph" w:styleId="purplelink">
    <w:name w:val="purplelink"/>
    <w:basedOn w:val="Normal"/>
    <w:qFormat/>
    <w:pPr>
      <w:spacing w:before="100" w:after="100"/>
    </w:pPr>
    <w:rPr>
      <w:rFonts w:ascii="Arial; helvetica" w:hAnsi="Arial; helvetica" w:eastAsia="Arial Unicode MS" w:cs="Arial; helvetica"/>
      <w:color w:val="660066"/>
      <w:sz w:val="18"/>
      <w:szCs w:val="18"/>
    </w:rPr>
  </w:style>
  <w:style w:type="paragraph" w:styleId="yellowlink">
    <w:name w:val="yellowlink"/>
    <w:basedOn w:val="Normal"/>
    <w:qFormat/>
    <w:pPr>
      <w:spacing w:before="100" w:after="100"/>
    </w:pPr>
    <w:rPr>
      <w:rFonts w:ascii="Arial; helvetica" w:hAnsi="Arial; helvetica" w:eastAsia="Arial Unicode MS" w:cs="Arial; helvetica"/>
      <w:color w:val="996600"/>
      <w:sz w:val="18"/>
      <w:szCs w:val="18"/>
    </w:rPr>
  </w:style>
  <w:style w:type="paragraph" w:styleId="yellowlinksm">
    <w:name w:val="yellowlinksm"/>
    <w:basedOn w:val="Normal"/>
    <w:qFormat/>
    <w:pPr>
      <w:spacing w:before="100" w:after="100"/>
    </w:pPr>
    <w:rPr>
      <w:rFonts w:ascii="Arial; helvetica" w:hAnsi="Arial; helvetica" w:eastAsia="Arial Unicode MS" w:cs="Arial; helvetica"/>
      <w:color w:val="996600"/>
      <w:sz w:val="17"/>
      <w:szCs w:val="17"/>
    </w:rPr>
  </w:style>
  <w:style w:type="paragraph" w:styleId="bigheadline">
    <w:name w:val="bigheadline"/>
    <w:basedOn w:val="Normal"/>
    <w:qFormat/>
    <w:pPr>
      <w:spacing w:before="100" w:after="100"/>
    </w:pPr>
    <w:rPr>
      <w:rFonts w:ascii="Arial; helvetica" w:hAnsi="Arial; helvetica" w:eastAsia="Arial Unicode MS" w:cs="Arial; helvetica"/>
      <w:b/>
      <w:bCs/>
      <w:sz w:val="27"/>
      <w:szCs w:val="27"/>
    </w:rPr>
  </w:style>
  <w:style w:type="paragraph" w:styleId="midheadline">
    <w:name w:val="midheadline"/>
    <w:basedOn w:val="Normal"/>
    <w:qFormat/>
    <w:pPr>
      <w:spacing w:before="100" w:after="100"/>
    </w:pPr>
    <w:rPr>
      <w:rFonts w:ascii="Arial; helvetica" w:hAnsi="Arial; helvetica" w:eastAsia="Arial Unicode MS" w:cs="Arial; helvetica"/>
      <w:sz w:val="21"/>
      <w:szCs w:val="21"/>
    </w:rPr>
  </w:style>
  <w:style w:type="paragraph" w:styleId="headlinehp">
    <w:name w:val="headlinehp"/>
    <w:basedOn w:val="Normal"/>
    <w:qFormat/>
    <w:pPr>
      <w:spacing w:before="100" w:after="100"/>
    </w:pPr>
    <w:rPr>
      <w:rFonts w:ascii="Arial; helvetica" w:hAnsi="Arial; helvetica" w:eastAsia="Arial Unicode MS" w:cs="Arial; helvetica"/>
      <w:b/>
      <w:bCs/>
      <w:color w:val="990000"/>
      <w:sz w:val="27"/>
      <w:szCs w:val="27"/>
    </w:rPr>
  </w:style>
  <w:style w:type="paragraph" w:styleId="boxheader">
    <w:name w:val="boxheader"/>
    <w:basedOn w:val="Normal"/>
    <w:qFormat/>
    <w:pPr>
      <w:spacing w:before="100" w:after="100"/>
    </w:pPr>
    <w:rPr>
      <w:rFonts w:ascii="Arial; helvetica" w:hAnsi="Arial; helvetica" w:eastAsia="Arial Unicode MS" w:cs="Arial; helvetica"/>
      <w:b/>
      <w:bCs/>
      <w:color w:val="FFFFFF"/>
      <w:sz w:val="17"/>
      <w:szCs w:val="17"/>
    </w:rPr>
  </w:style>
  <w:style w:type="paragraph" w:styleId="boxheadergold">
    <w:name w:val="boxheadergold"/>
    <w:basedOn w:val="Normal"/>
    <w:qFormat/>
    <w:pPr>
      <w:spacing w:before="100" w:after="100"/>
    </w:pPr>
    <w:rPr>
      <w:rFonts w:ascii="Arial; helvetica" w:hAnsi="Arial; helvetica" w:eastAsia="Arial Unicode MS" w:cs="Arial; helvetica"/>
      <w:b/>
      <w:bCs/>
      <w:color w:val="996600"/>
      <w:sz w:val="18"/>
      <w:szCs w:val="18"/>
    </w:rPr>
  </w:style>
  <w:style w:type="paragraph" w:styleId="link">
    <w:name w:val="link"/>
    <w:basedOn w:val="Normal"/>
    <w:qFormat/>
    <w:pPr>
      <w:spacing w:before="100" w:after="100"/>
    </w:pPr>
    <w:rPr>
      <w:rFonts w:ascii="Arial; helvetica" w:hAnsi="Arial; helvetica" w:eastAsia="Arial Unicode MS" w:cs="Arial; helvetica"/>
      <w:color w:val="330033"/>
      <w:sz w:val="17"/>
      <w:szCs w:val="17"/>
    </w:rPr>
  </w:style>
  <w:style w:type="paragraph" w:styleId="footernav">
    <w:name w:val="footernav"/>
    <w:basedOn w:val="Normal"/>
    <w:qFormat/>
    <w:pPr>
      <w:spacing w:before="100" w:after="100"/>
    </w:pPr>
    <w:rPr>
      <w:rFonts w:ascii="Verdana" w:hAnsi="Verdana" w:eastAsia="Arial Unicode MS" w:cs="Arial Unicode MS"/>
      <w:b/>
      <w:bCs/>
      <w:color w:val="996600"/>
      <w:sz w:val="18"/>
      <w:szCs w:val="18"/>
    </w:rPr>
  </w:style>
  <w:style w:type="paragraph" w:styleId="homebrown">
    <w:name w:val="homebrown"/>
    <w:basedOn w:val="Normal"/>
    <w:qFormat/>
    <w:pPr>
      <w:spacing w:before="100" w:after="100"/>
    </w:pPr>
    <w:rPr>
      <w:rFonts w:ascii="Arial; helvetica" w:hAnsi="Arial; helvetica" w:eastAsia="Arial Unicode MS" w:cs="Arial; helvetica"/>
      <w:b/>
      <w:bCs/>
      <w:color w:val="990000"/>
      <w:sz w:val="18"/>
      <w:szCs w:val="18"/>
    </w:rPr>
  </w:style>
  <w:style w:type="paragraph" w:styleId="hdrbrown">
    <w:name w:val="hdrbrown"/>
    <w:basedOn w:val="Normal"/>
    <w:qFormat/>
    <w:pPr>
      <w:spacing w:before="100" w:after="100"/>
    </w:pPr>
    <w:rPr>
      <w:rFonts w:ascii="Arial; helvetica" w:hAnsi="Arial; helvetica" w:eastAsia="Arial Unicode MS" w:cs="Arial; helvetica"/>
      <w:color w:val="660000"/>
      <w:sz w:val="17"/>
      <w:szCs w:val="17"/>
    </w:rPr>
  </w:style>
  <w:style w:type="paragraph" w:styleId="toolbarlinks1">
    <w:name w:val="toolbarlinks1"/>
    <w:basedOn w:val="Normal"/>
    <w:qFormat/>
    <w:pPr>
      <w:spacing w:before="100" w:after="100"/>
    </w:pPr>
    <w:rPr>
      <w:rFonts w:ascii="Arial; helvetica" w:hAnsi="Arial; helvetica" w:eastAsia="Arial Unicode MS" w:cs="Arial; helvetica"/>
      <w:color w:val="330000"/>
      <w:sz w:val="18"/>
      <w:szCs w:val="18"/>
    </w:rPr>
  </w:style>
  <w:style w:type="paragraph" w:styleId="toolbarlinks2">
    <w:name w:val="toolbarlinks2"/>
    <w:basedOn w:val="Normal"/>
    <w:qFormat/>
    <w:pPr>
      <w:spacing w:before="100" w:after="100"/>
    </w:pPr>
    <w:rPr>
      <w:rFonts w:ascii="Arial; helvetica" w:hAnsi="Arial; helvetica" w:eastAsia="Arial Unicode MS" w:cs="Arial; helvetica"/>
      <w:color w:val="330000"/>
      <w:sz w:val="14"/>
      <w:szCs w:val="14"/>
    </w:rPr>
  </w:style>
  <w:style w:type="paragraph" w:styleId="toolbarlinks3">
    <w:name w:val="toolbarlinks3"/>
    <w:basedOn w:val="Normal"/>
    <w:qFormat/>
    <w:pPr>
      <w:spacing w:before="100" w:after="100"/>
    </w:pPr>
    <w:rPr>
      <w:rFonts w:ascii="Arial; helvetica" w:hAnsi="Arial; helvetica" w:eastAsia="Arial Unicode MS" w:cs="Arial; helvetica"/>
      <w:b/>
      <w:bCs/>
      <w:color w:val="330000"/>
      <w:sz w:val="18"/>
      <w:szCs w:val="18"/>
      <w:u w:val="single"/>
    </w:rPr>
  </w:style>
  <w:style w:type="paragraph" w:styleId="smallheadline">
    <w:name w:val="smallheadline"/>
    <w:basedOn w:val="Normal"/>
    <w:qFormat/>
    <w:pPr>
      <w:spacing w:before="100" w:after="100"/>
    </w:pPr>
    <w:rPr>
      <w:rFonts w:ascii="Arial; helvetica" w:hAnsi="Arial; helvetica" w:eastAsia="Arial Unicode MS" w:cs="Arial; helvetica"/>
      <w:b/>
      <w:bCs/>
      <w:color w:val="330000"/>
      <w:sz w:val="18"/>
      <w:szCs w:val="18"/>
      <w:u w:val="single"/>
    </w:rPr>
  </w:style>
  <w:style w:type="paragraph" w:styleId="selectmenulhn">
    <w:name w:val="selectmenulhn"/>
    <w:basedOn w:val="Normal"/>
    <w:qFormat/>
    <w:pPr>
      <w:spacing w:before="100" w:after="100"/>
    </w:pPr>
    <w:rPr>
      <w:rFonts w:ascii="Arial Unicode MS" w:hAnsi="Arial Unicode MS" w:eastAsia="Arial Unicode MS" w:cs="Arial Unicode MS"/>
      <w:sz w:val="24"/>
    </w:rPr>
  </w:style>
  <w:style w:type="paragraph" w:styleId="selectmenurhn">
    <w:name w:val="selectmenurhn"/>
    <w:basedOn w:val="Normal"/>
    <w:qFormat/>
    <w:pPr>
      <w:spacing w:before="100" w:after="100"/>
    </w:pPr>
    <w:rPr>
      <w:rFonts w:ascii="Arial Unicode MS" w:hAnsi="Arial Unicode MS" w:eastAsia="Arial Unicode MS" w:cs="Arial Unicode MS"/>
      <w:sz w:val="24"/>
    </w:rPr>
  </w:style>
  <w:style w:type="paragraph" w:styleId="smallburgundy">
    <w:name w:val="smallburgundy"/>
    <w:basedOn w:val="Normal"/>
    <w:qFormat/>
    <w:pPr>
      <w:spacing w:before="100" w:after="100"/>
    </w:pPr>
    <w:rPr>
      <w:rFonts w:ascii="Arial; helvetica" w:hAnsi="Arial; helvetica" w:eastAsia="Arial Unicode MS" w:cs="Arial; helvetica"/>
      <w:b/>
      <w:bCs/>
      <w:color w:val="990000"/>
      <w:sz w:val="18"/>
      <w:szCs w:val="18"/>
    </w:rPr>
  </w:style>
  <w:style w:type="paragraph" w:styleId="ftcpnav">
    <w:name w:val="ftcpnav"/>
    <w:basedOn w:val="Normal"/>
    <w:qFormat/>
    <w:pPr>
      <w:shd w:fill="FFFFFF" w:val="clear"/>
      <w:spacing w:before="100" w:after="100"/>
    </w:pPr>
    <w:rPr>
      <w:rFonts w:ascii="Arial Unicode MS" w:hAnsi="Arial Unicode MS" w:eastAsia="Arial Unicode MS" w:cs="Arial Unicode MS"/>
      <w:sz w:val="24"/>
    </w:rPr>
  </w:style>
  <w:style w:type="paragraph" w:styleId="ftcpmydiv">
    <w:name w:val="ftcpmydiv"/>
    <w:basedOn w:val="Normal"/>
    <w:qFormat/>
    <w:pPr>
      <w:spacing w:before="100" w:after="100"/>
    </w:pPr>
    <w:rPr>
      <w:rFonts w:ascii="Arial Unicode MS" w:hAnsi="Arial Unicode MS" w:eastAsia="Arial Unicode MS" w:cs="Arial Unicode MS"/>
      <w:sz w:val="24"/>
    </w:rPr>
  </w:style>
  <w:style w:type="paragraph" w:styleId="alltitle">
    <w:name w:val="alltitle"/>
    <w:basedOn w:val="Normal"/>
    <w:qFormat/>
    <w:pPr>
      <w:spacing w:before="100" w:after="100"/>
    </w:pPr>
    <w:rPr>
      <w:rFonts w:ascii="Arial; helvetica" w:hAnsi="Arial; helvetica" w:eastAsia="Arial Unicode MS" w:cs="Arial; helvetica"/>
      <w:color w:val="FF0000"/>
      <w:sz w:val="15"/>
      <w:szCs w:val="15"/>
    </w:rPr>
  </w:style>
  <w:style w:type="paragraph" w:styleId="banadlores">
    <w:name w:val="banadlores"/>
    <w:basedOn w:val="Normal"/>
    <w:qFormat/>
    <w:pPr>
      <w:spacing w:before="100" w:after="100"/>
    </w:pPr>
    <w:rPr>
      <w:rFonts w:ascii="Arial Unicode MS" w:hAnsi="Arial Unicode MS" w:eastAsia="Arial Unicode MS" w:cs="Arial Unicode MS"/>
      <w:sz w:val="24"/>
    </w:rPr>
  </w:style>
  <w:style w:type="paragraph" w:styleId="DefinitionTerm">
    <w:name w:val="Definition Term"/>
    <w:basedOn w:val="Normal"/>
    <w:next w:val="DefinitionList"/>
    <w:qFormat/>
    <w:pPr>
      <w:autoSpaceDE w:val="false"/>
    </w:pPr>
    <w:rPr>
      <w:rFonts w:ascii="Times New Roman" w:hAnsi="Times New Roman" w:cs="Times New Roman"/>
    </w:rPr>
  </w:style>
  <w:style w:type="paragraph" w:styleId="DefinitionList">
    <w:name w:val="Definition List"/>
    <w:basedOn w:val="Normal"/>
    <w:next w:val="DefinitionTerm"/>
    <w:qFormat/>
    <w:pPr>
      <w:autoSpaceDE w:val="false"/>
      <w:ind w:hanging="0" w:start="360" w:end="0"/>
    </w:pPr>
    <w:rPr>
      <w:rFonts w:ascii="Times New Roman" w:hAnsi="Times New Roman" w:cs="Times New Roman"/>
    </w:rPr>
  </w:style>
  <w:style w:type="paragraph" w:styleId="H1">
    <w:name w:val="H1"/>
    <w:basedOn w:val="Normal"/>
    <w:next w:val="Normal"/>
    <w:qFormat/>
    <w:pPr>
      <w:keepNext w:val="true"/>
      <w:autoSpaceDE w:val="false"/>
      <w:spacing w:before="100" w:after="100"/>
      <w:outlineLvl w:val="1"/>
    </w:pPr>
    <w:rPr>
      <w:rFonts w:ascii="Times New Roman" w:hAnsi="Times New Roman" w:cs="Times New Roman"/>
      <w:b/>
      <w:bCs/>
      <w:kern w:val="2"/>
      <w:sz w:val="48"/>
      <w:szCs w:val="48"/>
    </w:rPr>
  </w:style>
  <w:style w:type="paragraph" w:styleId="H2">
    <w:name w:val="H2"/>
    <w:basedOn w:val="Normal"/>
    <w:next w:val="Normal"/>
    <w:qFormat/>
    <w:pPr>
      <w:keepNext w:val="true"/>
      <w:autoSpaceDE w:val="false"/>
      <w:spacing w:before="100" w:after="100"/>
      <w:outlineLvl w:val="2"/>
    </w:pPr>
    <w:rPr>
      <w:rFonts w:ascii="Times New Roman" w:hAnsi="Times New Roman" w:cs="Times New Roman"/>
      <w:b/>
      <w:bCs/>
      <w:sz w:val="36"/>
      <w:szCs w:val="36"/>
    </w:rPr>
  </w:style>
  <w:style w:type="paragraph" w:styleId="H3">
    <w:name w:val="H3"/>
    <w:basedOn w:val="Normal"/>
    <w:next w:val="Normal"/>
    <w:qFormat/>
    <w:pPr>
      <w:keepNext w:val="true"/>
      <w:autoSpaceDE w:val="false"/>
      <w:spacing w:before="100" w:after="100"/>
      <w:outlineLvl w:val="3"/>
    </w:pPr>
    <w:rPr>
      <w:rFonts w:ascii="Times New Roman" w:hAnsi="Times New Roman" w:cs="Times New Roman"/>
      <w:b/>
      <w:bCs/>
      <w:sz w:val="28"/>
      <w:szCs w:val="28"/>
    </w:rPr>
  </w:style>
  <w:style w:type="paragraph" w:styleId="H4">
    <w:name w:val="H4"/>
    <w:basedOn w:val="Normal"/>
    <w:next w:val="Normal"/>
    <w:qFormat/>
    <w:pPr>
      <w:keepNext w:val="true"/>
      <w:autoSpaceDE w:val="false"/>
      <w:spacing w:before="100" w:after="100"/>
      <w:outlineLvl w:val="4"/>
    </w:pPr>
    <w:rPr>
      <w:rFonts w:ascii="Times New Roman" w:hAnsi="Times New Roman" w:cs="Times New Roman"/>
      <w:b/>
      <w:bCs/>
      <w:sz w:val="24"/>
    </w:rPr>
  </w:style>
  <w:style w:type="paragraph" w:styleId="H5">
    <w:name w:val="H5"/>
    <w:basedOn w:val="Normal"/>
    <w:next w:val="Normal"/>
    <w:qFormat/>
    <w:pPr>
      <w:keepNext w:val="true"/>
      <w:autoSpaceDE w:val="false"/>
      <w:spacing w:before="100" w:after="100"/>
      <w:outlineLvl w:val="5"/>
    </w:pPr>
    <w:rPr>
      <w:rFonts w:ascii="Times New Roman" w:hAnsi="Times New Roman" w:cs="Times New Roman"/>
      <w:b/>
      <w:bCs/>
      <w:szCs w:val="20"/>
    </w:rPr>
  </w:style>
  <w:style w:type="paragraph" w:styleId="H6">
    <w:name w:val="H6"/>
    <w:basedOn w:val="Normal"/>
    <w:next w:val="Normal"/>
    <w:qFormat/>
    <w:pPr>
      <w:keepNext w:val="true"/>
      <w:autoSpaceDE w:val="false"/>
      <w:spacing w:before="100" w:after="100"/>
      <w:outlineLvl w:val="6"/>
    </w:pPr>
    <w:rPr>
      <w:rFonts w:ascii="Times New Roman" w:hAnsi="Times New Roman" w:cs="Times New Roman"/>
      <w:b/>
      <w:bCs/>
      <w:sz w:val="16"/>
      <w:szCs w:val="16"/>
    </w:rPr>
  </w:style>
  <w:style w:type="paragraph" w:styleId="Address">
    <w:name w:val="Address"/>
    <w:basedOn w:val="Normal"/>
    <w:next w:val="Normal"/>
    <w:qFormat/>
    <w:pPr>
      <w:autoSpaceDE w:val="false"/>
    </w:pPr>
    <w:rPr>
      <w:rFonts w:ascii="Times New Roman" w:hAnsi="Times New Roman" w:cs="Times New Roman"/>
      <w:i/>
      <w:iCs/>
    </w:rPr>
  </w:style>
  <w:style w:type="paragraph" w:styleId="Blockquote">
    <w:name w:val="Blockquote"/>
    <w:basedOn w:val="Normal"/>
    <w:qFormat/>
    <w:pPr>
      <w:autoSpaceDE w:val="false"/>
      <w:spacing w:before="100" w:after="100"/>
      <w:ind w:hanging="0" w:start="360" w:end="360"/>
    </w:pPr>
    <w:rPr>
      <w:rFonts w:ascii="Times New Roman" w:hAnsi="Times New Roman" w:cs="Times New Roman"/>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autoSpaceDE w:val="false"/>
    </w:pPr>
    <w:rPr>
      <w:rFonts w:ascii="Courier New" w:hAnsi="Courier New" w:cs="Courier New"/>
      <w:szCs w:val="20"/>
    </w:rPr>
  </w:style>
  <w:style w:type="paragraph" w:styleId="z-BottomofForm">
    <w:name w:val="z-Bottom of Form"/>
    <w:basedOn w:val="Normal"/>
    <w:next w:val="Normal"/>
    <w:qFormat/>
    <w:pPr>
      <w:pBdr>
        <w:top w:val="double" w:sz="2" w:space="0" w:color="000000"/>
      </w:pBdr>
      <w:autoSpaceDE w:val="false"/>
      <w:jc w:val="center"/>
    </w:pPr>
    <w:rPr>
      <w:rFonts w:ascii="Arial; helvetica" w:hAnsi="Arial; helvetica" w:cs="Arial; helvetica"/>
      <w:vanish/>
      <w:sz w:val="16"/>
      <w:szCs w:val="16"/>
    </w:rPr>
  </w:style>
  <w:style w:type="paragraph" w:styleId="z-TopofForm">
    <w:name w:val="z-Top of Form"/>
    <w:basedOn w:val="Normal"/>
    <w:next w:val="Normal"/>
    <w:qFormat/>
    <w:pPr>
      <w:pBdr>
        <w:bottom w:val="double" w:sz="2" w:space="0" w:color="000000"/>
      </w:pBdr>
      <w:autoSpaceDE w:val="false"/>
      <w:jc w:val="center"/>
    </w:pPr>
    <w:rPr>
      <w:rFonts w:ascii="Arial; helvetica" w:hAnsi="Arial; helvetica" w:cs="Arial; helvetica"/>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hyperlink" Target="http://www.benefitnews.com/detail.cfm?id=1726" TargetMode="External"/><Relationship Id="rId7" Type="http://schemas.openxmlformats.org/officeDocument/2006/relationships/hyperlink" Target="http://dailynews.yahoo.com/htx/nyt/20010810/bs/toyota_earmarks_8_billion_for_diversification_efforts_1.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2001-08-13T13:06:00Z</dcterms:created>
  <dc:creator>Norman Levine</dc:creator>
  <dc:description/>
  <dc:language>en-CA</dc:language>
  <cp:lastModifiedBy>Norman Levine</cp:lastModifiedBy>
  <cp:lastPrinted>2001-08-15T16:13:00Z</cp:lastPrinted>
  <dcterms:modified xsi:type="dcterms:W3CDTF">2001-08-15T19:44:00Z</dcterms:modified>
  <cp:revision>26</cp:revision>
  <dc:subject/>
  <dc:title/>
</cp:coreProperties>
</file>