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5.docx" ContentType="application/vnd.openxmlformats-officedocument.wordprocessingml.document"/>
  <Override PartName="/word/embeddings/oleObject3.docx" ContentType="application/vnd.openxmlformats-officedocument.wordprocessingml.document"/>
  <Override PartName="/word/embeddings/oleObject4.docx" ContentType="application/vnd.openxmlformats-officedocument.wordprocessingml.document"/>
  <Override PartName="/word/media/image1.wmf" ContentType="image/x-wmf"/>
  <Override PartName="/word/media/image2.png" ContentType="image/png"/>
  <Override PartName="/word/media/image3.png" ContentType="image/png"/>
  <Override PartName="/word/media/image4.png" ContentType="image/png"/>
  <Override PartName="/word/media/image5.wmf" ContentType="image/x-wmf"/>
  <Override PartName="/word/media/image6.wmf" ContentType="image/x-wmf"/>
  <Override PartName="/word/media/image7.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object w:dxaOrig="8638" w:dyaOrig="10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3.5pt;width:477pt;height:65.4pt;mso-wrap-distance-left:9.05pt;mso-wrap-distance-right:9.05pt;mso-position-horizontal-relative:text;mso-position-vertical-relative:text" filled="f" o:ole="">
            <v:imagedata r:id="rId3" o:title=""/>
            <w10:wrap type="topAndBottom"/>
          </v:shape>
          <o:OLEObject Type="Embed" ProgID="" ShapeID="ole_rId2" DrawAspect="Content" ObjectID="_463698510" r:id="rId2"/>
        </w:object>
      </w:r>
      <w:r>
        <mc:AlternateContent>
          <mc:Choice Requires="wps">
            <w:drawing>
              <wp:anchor behindDoc="0" distT="0" distB="0" distL="114935" distR="114935" simplePos="0" locked="0" layoutInCell="1" allowOverlap="1" relativeHeight="3">
                <wp:simplePos x="0" y="0"/>
                <wp:positionH relativeFrom="column">
                  <wp:posOffset>800100</wp:posOffset>
                </wp:positionH>
                <wp:positionV relativeFrom="paragraph">
                  <wp:posOffset>298450</wp:posOffset>
                </wp:positionV>
                <wp:extent cx="5143500" cy="571500"/>
                <wp:effectExtent l="0" t="0" r="0" b="0"/>
                <wp:wrapNone/>
                <wp:docPr id="1" name="Frame1"/>
                <a:graphic xmlns:a="http://schemas.openxmlformats.org/drawingml/2006/main">
                  <a:graphicData uri="http://schemas.microsoft.com/office/word/2010/wordprocessingShape">
                    <wps:wsp>
                      <wps:cNvSpPr txBox="1"/>
                      <wps:spPr>
                        <a:xfrm>
                          <a:off x="0" y="0"/>
                          <a:ext cx="5143500" cy="571500"/>
                        </a:xfrm>
                        <a:prstGeom prst="rect"/>
                        <a:solidFill>
                          <a:srgbClr val="FFFFFF"/>
                        </a:solidFill>
                      </wps:spPr>
                      <wps:txbx>
                        <w:txbxContent>
                          <w:p>
                            <w:pPr>
                              <w:pStyle w:val="BodyText"/>
                              <w:jc w:val="center"/>
                              <w:rPr/>
                            </w:pPr>
                            <w:r>
                              <w:rPr>
                                <w:sz w:val="64"/>
                              </w:rPr>
                              <w:t>Enron HR</w:t>
                            </w:r>
                            <w:r>
                              <w:rPr/>
                              <w:t xml:space="preserve"> Newsletter</w:t>
                            </w:r>
                          </w:p>
                        </w:txbxContent>
                      </wps:txbx>
                      <wps:bodyPr anchor="t" lIns="92075" tIns="46355" rIns="92075" bIns="46355">
                        <a:noAutofit/>
                      </wps:bodyPr>
                    </wps:wsp>
                  </a:graphicData>
                </a:graphic>
              </wp:anchor>
            </w:drawing>
          </mc:Choice>
          <mc:Fallback>
            <w:pict>
              <v:rect fillcolor="#FFFFFF" style="position:absolute;rotation:-0;width:405pt;height:45pt;mso-wrap-distance-left:9.05pt;mso-wrap-distance-right:9.05pt;mso-wrap-distance-top:0pt;mso-wrap-distance-bottom:0pt;margin-top:23.5pt;mso-position-vertical-relative:text;margin-left:63pt;mso-position-horizontal-relative:text">
                <v:textbox inset="0.100694444444444in,0.0506944444444444in,0.100694444444444in,0.0506944444444444in">
                  <w:txbxContent>
                    <w:p>
                      <w:pPr>
                        <w:pStyle w:val="BodyText"/>
                        <w:jc w:val="center"/>
                        <w:rPr/>
                      </w:pPr>
                      <w:r>
                        <w:rPr>
                          <w:sz w:val="64"/>
                        </w:rPr>
                        <w:t>Enron HR</w:t>
                      </w:r>
                      <w:r>
                        <w:rPr/>
                        <w:t xml:space="preserve"> Newsletter</w:t>
                      </w:r>
                    </w:p>
                  </w:txbxContent>
                </v:textbox>
                <w10:wrap type="none"/>
              </v:rect>
            </w:pict>
          </mc:Fallback>
        </mc:AlternateContent>
      </w:r>
    </w:p>
    <w:p>
      <w:pPr>
        <w:pStyle w:val="Normal"/>
        <w:rPr/>
      </w:pPr>
      <w:r>
        <w:rPr/>
      </w:r>
    </w:p>
    <w:p>
      <w:pPr>
        <w:pStyle w:val="Normal"/>
        <w:rPr/>
      </w:pPr>
      <w:r>
        <w:rPr/>
      </w:r>
    </w:p>
    <w:p>
      <w:pPr>
        <w:pStyle w:val="Normal"/>
        <w:rPr/>
      </w:pPr>
      <w:r>
        <w:rPr/>
      </w:r>
    </w:p>
    <w:p>
      <w:pPr>
        <w:pStyle w:val="Heading2"/>
        <w:ind w:hanging="0" w:start="0"/>
        <w:rPr>
          <w:i/>
          <w:i/>
          <w:iCs/>
          <w:sz w:val="40"/>
        </w:rPr>
      </w:pPr>
      <w:r>
        <w:rPr>
          <w:i/>
          <w:iCs/>
          <w:sz w:val="40"/>
        </w:rPr>
      </w:r>
    </w:p>
    <w:p>
      <w:pPr>
        <w:pStyle w:val="Heading1"/>
        <w:ind w:hanging="0" w:start="0"/>
        <w:rPr>
          <w:b/>
          <w:bCs/>
          <w:i/>
          <w:i/>
          <w:iCs/>
          <w:sz w:val="14"/>
        </w:rPr>
      </w:pPr>
      <w:r>
        <w:rPr>
          <w:b/>
          <w:bCs/>
          <w:i/>
          <w:iCs/>
          <w:sz w:val="14"/>
        </w:rPr>
      </w:r>
    </w:p>
    <w:p>
      <w:pPr>
        <w:pStyle w:val="Heading1"/>
        <w:ind w:hanging="0" w:start="0"/>
        <w:rPr>
          <w:b/>
          <w:bCs/>
          <w:sz w:val="48"/>
        </w:rPr>
      </w:pPr>
      <w:r>
        <w:rPr>
          <w:b/>
          <w:bCs/>
          <w:sz w:val="48"/>
        </w:rPr>
        <w:t>August 1, 2001</w:t>
      </w:r>
    </w:p>
    <w:p>
      <w:pPr>
        <w:pStyle w:val="Normal"/>
        <w:rPr>
          <w:b/>
          <w:bCs/>
          <w:sz w:val="48"/>
        </w:rPr>
      </w:pPr>
      <w:r>
        <w:rPr>
          <w:b/>
          <w:bCs/>
          <w:sz w:val="48"/>
        </w:rPr>
      </w:r>
    </w:p>
    <w:p>
      <w:pPr>
        <w:pStyle w:val="Normal"/>
        <w:rPr/>
      </w:pPr>
      <w:r>
        <w:rPr/>
      </w:r>
    </w:p>
    <w:p>
      <w:pPr>
        <w:pStyle w:val="Normal"/>
        <w:rPr/>
      </w:pPr>
      <w:r>
        <w:rPr/>
      </w:r>
    </w:p>
    <w:p>
      <w:pPr>
        <w:pStyle w:val="Normal"/>
        <w:rPr>
          <w:lang w:val="en-CA" w:eastAsia="en-CA"/>
        </w:rPr>
      </w:pPr>
      <w:r>
        <w:rPr>
          <w:lang w:val="en-CA" w:eastAsia="en-CA"/>
        </w:rPr>
        <w:object w:dxaOrig="13228" w:dyaOrig="638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08pt;margin-top:16.6pt;width:259.2pt;height:125.2pt;mso-wrap-distance-left:9.05pt;mso-wrap-distance-right:9.05pt;mso-position-horizontal-relative:text;mso-position-vertical-relative:text" filled="f" o:ole="">
            <v:imagedata r:id="rId5" o:title=""/>
            <w10:wrap type="topAndBottom"/>
          </v:shape>
          <o:OLEObject Type="Embed" ProgID="" ShapeID="ole_rId4" DrawAspect="Content" ObjectID="_1238021501" r:id="rId4"/>
        </w:objec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7"/>
        <w:autoSpaceDE w:val="false"/>
        <w:ind w:hanging="0" w:start="0"/>
        <w:rPr>
          <w:sz w:val="22"/>
        </w:rPr>
      </w:pPr>
      <w:r>
        <w:rPr>
          <w:sz w:val="22"/>
        </w:rPr>
      </w:r>
    </w:p>
    <w:p>
      <w:pPr>
        <w:pStyle w:val="Normal"/>
        <w:ind w:start="-360" w:end="0"/>
        <w:jc w:val="center"/>
        <w:rPr>
          <w:b/>
          <w:bCs/>
          <w:shadow/>
          <w:sz w:val="22"/>
          <w:u w:val="single"/>
        </w:rPr>
      </w:pPr>
      <w:r>
        <w:rPr>
          <w:b/>
          <w:bCs/>
          <w:shadow/>
          <w:sz w:val="22"/>
          <w:u w:val="single"/>
        </w:rPr>
        <w:t>Enron in the News</w:t>
      </w:r>
    </w:p>
    <w:p>
      <w:pPr>
        <w:pStyle w:val="Normal"/>
        <w:jc w:val="both"/>
        <w:rPr>
          <w:b/>
          <w:bCs/>
          <w:shadow/>
          <w:sz w:val="22"/>
          <w:szCs w:val="15"/>
          <w:u w:val="single"/>
        </w:rPr>
      </w:pPr>
      <w:r>
        <w:rPr>
          <w:b/>
          <w:bCs/>
          <w:shadow/>
          <w:sz w:val="22"/>
          <w:szCs w:val="15"/>
          <w:u w:val="single"/>
        </w:rPr>
      </w:r>
    </w:p>
    <w:p>
      <w:pPr>
        <w:pStyle w:val="Normal"/>
        <w:jc w:val="both"/>
        <w:rPr>
          <w:b/>
          <w:bCs/>
          <w:szCs w:val="15"/>
        </w:rPr>
      </w:pPr>
      <w:r>
        <w:drawing>
          <wp:anchor behindDoc="0" distT="0" distB="0" distL="114935" distR="114935" simplePos="0" locked="0" layoutInCell="0" allowOverlap="1" relativeHeight="5">
            <wp:simplePos x="0" y="0"/>
            <wp:positionH relativeFrom="column">
              <wp:posOffset>0</wp:posOffset>
            </wp:positionH>
            <wp:positionV relativeFrom="paragraph">
              <wp:posOffset>348615</wp:posOffset>
            </wp:positionV>
            <wp:extent cx="3017520" cy="25273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10" t="-115" r="-10" b="-115"/>
                    <a:stretch>
                      <a:fillRect/>
                    </a:stretch>
                  </pic:blipFill>
                  <pic:spPr bwMode="auto">
                    <a:xfrm>
                      <a:off x="0" y="0"/>
                      <a:ext cx="3017520" cy="252730"/>
                    </a:xfrm>
                    <a:prstGeom prst="rect">
                      <a:avLst/>
                    </a:prstGeom>
                    <a:noFill/>
                  </pic:spPr>
                </pic:pic>
              </a:graphicData>
            </a:graphic>
          </wp:anchor>
        </w:drawing>
      </w:r>
      <w:r>
        <w:rPr>
          <w:b/>
          <w:bCs/>
          <w:szCs w:val="15"/>
        </w:rPr>
        <w:t>Diversity:</w:t>
      </w:r>
    </w:p>
    <w:p>
      <w:pPr>
        <w:pStyle w:val="Normal"/>
        <w:jc w:val="both"/>
        <w:rPr>
          <w:b/>
          <w:bCs/>
          <w:szCs w:val="15"/>
        </w:rPr>
      </w:pPr>
      <w:r>
        <w:rPr>
          <w:b/>
          <w:bCs/>
          <w:szCs w:val="15"/>
        </w:rPr>
      </w:r>
    </w:p>
    <w:p>
      <w:pPr>
        <w:pStyle w:val="Normal"/>
        <w:jc w:val="both"/>
        <w:rPr/>
      </w:pPr>
      <w:r>
        <w:rPr>
          <w:color w:val="000000"/>
          <w:szCs w:val="15"/>
        </w:rPr>
        <w:t xml:space="preserve">The upstream oil and gas business still is viewed as a world of white males.  Several groups are working to improve the diversity of the workforce, with some of the impetus coming from the natural gas and electricity market sector, where women in particular have made great strides. Companies such as Dynegy, </w:t>
      </w:r>
      <w:r>
        <w:rPr>
          <w:b/>
          <w:bCs/>
          <w:color w:val="000000"/>
          <w:szCs w:val="15"/>
        </w:rPr>
        <w:t>Enron</w:t>
      </w:r>
      <w:r>
        <w:rPr>
          <w:color w:val="000000"/>
          <w:szCs w:val="15"/>
        </w:rPr>
        <w:t>, and Reliant Energy have programs to recruit more women and minority-owned businesses among their suppliers and vendors.</w:t>
      </w:r>
    </w:p>
    <w:p>
      <w:pPr>
        <w:pStyle w:val="Normal"/>
        <w:jc w:val="both"/>
        <w:rPr>
          <w:color w:val="000000"/>
          <w:sz w:val="4"/>
          <w:szCs w:val="15"/>
        </w:rPr>
      </w:pPr>
      <w:r>
        <w:rPr>
          <w:color w:val="000000"/>
          <w:sz w:val="4"/>
          <w:szCs w:val="15"/>
        </w:rPr>
      </w:r>
    </w:p>
    <w:p>
      <w:pPr>
        <w:pStyle w:val="Normal"/>
        <w:jc w:val="both"/>
        <w:rPr>
          <w:b/>
          <w:bCs/>
          <w:i/>
          <w:i/>
          <w:iCs/>
          <w:color w:val="808080"/>
          <w:sz w:val="16"/>
        </w:rPr>
      </w:pPr>
      <w:r>
        <w:rPr>
          <w:rFonts w:eastAsia="Tahoma"/>
          <w:b/>
          <w:bCs/>
          <w:i/>
          <w:iCs/>
          <w:color w:val="808080"/>
          <w:sz w:val="16"/>
        </w:rPr>
        <w:t xml:space="preserve">   </w:t>
      </w:r>
      <w:r>
        <w:rPr>
          <w:b/>
          <w:bCs/>
          <w:i/>
          <w:iCs/>
          <w:color w:val="808080"/>
          <w:sz w:val="16"/>
        </w:rPr>
        <w:t>…</w:t>
      </w:r>
      <w:hyperlink r:id="rId7">
        <w:r>
          <w:rPr>
            <w:rStyle w:val="Hyperlink"/>
            <w:b/>
            <w:bCs/>
            <w:i/>
            <w:iCs/>
            <w:color w:val="808080"/>
            <w:sz w:val="16"/>
            <w:szCs w:val="15"/>
          </w:rPr>
          <w:t>Petroleum Intelligence Weekly, 07/16/2001</w:t>
        </w:r>
      </w:hyperlink>
    </w:p>
    <w:p>
      <w:pPr>
        <w:pStyle w:val="Normal"/>
        <w:ind w:end="-360"/>
        <w:jc w:val="both"/>
        <w:rPr>
          <w:b/>
          <w:bCs/>
          <w:i/>
          <w:i/>
          <w:iCs/>
          <w:color w:val="808080"/>
          <w:sz w:val="16"/>
          <w:u w:val="single"/>
        </w:rPr>
      </w:pPr>
      <w:r>
        <w:rPr>
          <w:b/>
          <w:bCs/>
          <w:i/>
          <w:iCs/>
          <w:color w:val="808080"/>
          <w:sz w:val="16"/>
          <w:u w:val="single"/>
        </w:rPr>
      </w:r>
    </w:p>
    <w:p>
      <w:pPr>
        <w:pStyle w:val="Normal"/>
        <w:ind w:end="-360"/>
        <w:jc w:val="both"/>
        <w:rPr>
          <w:b/>
          <w:bCs/>
          <w:u w:val="single"/>
        </w:rPr>
      </w:pPr>
      <w:r>
        <w:rPr>
          <w:b/>
          <w:bCs/>
          <w:u w:val="single"/>
        </w:rPr>
      </w:r>
    </w:p>
    <w:p>
      <w:pPr>
        <w:pStyle w:val="Normal"/>
        <w:ind w:end="-360"/>
        <w:jc w:val="both"/>
        <w:rPr>
          <w:b/>
          <w:bCs/>
        </w:rPr>
      </w:pPr>
      <w:r>
        <w:rPr>
          <w:b/>
          <w:bCs/>
        </w:rPr>
        <w:t>Performance Management:</w:t>
      </w:r>
    </w:p>
    <w:p>
      <w:pPr>
        <w:pStyle w:val="Normal"/>
        <w:ind w:end="-360"/>
        <w:jc w:val="both"/>
        <w:rPr>
          <w:b/>
          <w:bCs/>
          <w:sz w:val="14"/>
          <w:lang w:val="en-CA" w:eastAsia="en-CA"/>
        </w:rPr>
      </w:pPr>
      <w:r>
        <w:rPr>
          <w:b/>
          <w:bCs/>
          <w:sz w:val="14"/>
          <w:lang w:val="en-CA" w:eastAsia="en-CA"/>
        </w:rPr>
        <w:drawing>
          <wp:anchor behindDoc="0" distT="0" distB="0" distL="114935" distR="114935" simplePos="0" locked="0" layoutInCell="0" allowOverlap="1" relativeHeight="6">
            <wp:simplePos x="0" y="0"/>
            <wp:positionH relativeFrom="column">
              <wp:posOffset>0</wp:posOffset>
            </wp:positionH>
            <wp:positionV relativeFrom="paragraph">
              <wp:posOffset>196215</wp:posOffset>
            </wp:positionV>
            <wp:extent cx="1857375" cy="25654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8"/>
                    <a:srcRect l="-19" t="-151" r="-19" b="-7867"/>
                    <a:stretch>
                      <a:fillRect/>
                    </a:stretch>
                  </pic:blipFill>
                  <pic:spPr bwMode="auto">
                    <a:xfrm>
                      <a:off x="0" y="0"/>
                      <a:ext cx="1857375" cy="256540"/>
                    </a:xfrm>
                    <a:prstGeom prst="rect">
                      <a:avLst/>
                    </a:prstGeom>
                    <a:noFill/>
                  </pic:spPr>
                </pic:pic>
              </a:graphicData>
            </a:graphic>
          </wp:anchor>
        </w:drawing>
      </w:r>
    </w:p>
    <w:p>
      <w:pPr>
        <w:pStyle w:val="BodyText2"/>
        <w:autoSpaceDE w:val="true"/>
        <w:rPr/>
      </w:pPr>
      <w:r>
        <w:rPr/>
        <w:t xml:space="preserve">Microsoft, Lucent, Conoco, </w:t>
      </w:r>
      <w:r>
        <w:rPr>
          <w:b/>
          <w:bCs/>
        </w:rPr>
        <w:t>Enron</w:t>
      </w:r>
      <w:r>
        <w:rPr/>
        <w:t xml:space="preserve"> and EDS all have used forced ranking to maintain or improve the quality of their work forces.  While many find the idea distasteful or complain it substitutes a yearly spasm for what should be a continuous process, at least it solves a real problem.  Survey after survey finds that even the happiest worker-bees gripe about their employer's reluctance to get strict with poor performers.  A recent McKinsey poll of managers at big companies found that only 16% said their employer could even recognize the difference between stars and slackers. </w:t>
      </w:r>
    </w:p>
    <w:p>
      <w:pPr>
        <w:pStyle w:val="Normal"/>
        <w:jc w:val="both"/>
        <w:rPr>
          <w:b/>
          <w:bCs/>
          <w:i/>
          <w:i/>
          <w:iCs/>
          <w:color w:val="808080"/>
          <w:sz w:val="4"/>
        </w:rPr>
      </w:pPr>
      <w:r>
        <w:rPr>
          <w:b/>
          <w:bCs/>
          <w:i/>
          <w:iCs/>
          <w:color w:val="808080"/>
          <w:sz w:val="4"/>
        </w:rPr>
      </w:r>
    </w:p>
    <w:p>
      <w:pPr>
        <w:pStyle w:val="Normal"/>
        <w:jc w:val="both"/>
        <w:rPr>
          <w:b/>
          <w:bCs/>
          <w:i/>
          <w:i/>
          <w:iCs/>
          <w:color w:val="808080"/>
          <w:sz w:val="16"/>
        </w:rPr>
      </w:pPr>
      <w:r>
        <w:rPr>
          <w:rFonts w:eastAsia="Tahoma"/>
          <w:b/>
          <w:bCs/>
          <w:i/>
          <w:iCs/>
          <w:color w:val="808080"/>
          <w:sz w:val="16"/>
        </w:rPr>
        <w:t xml:space="preserve"> </w:t>
      </w:r>
      <w:r>
        <w:rPr>
          <w:b/>
          <w:bCs/>
          <w:i/>
          <w:iCs/>
          <w:color w:val="808080"/>
          <w:sz w:val="16"/>
        </w:rPr>
        <w:t>…</w:t>
      </w:r>
      <w:r>
        <w:rPr>
          <w:b/>
          <w:bCs/>
          <w:i/>
          <w:iCs/>
          <w:color w:val="808080"/>
          <w:sz w:val="16"/>
        </w:rPr>
        <w:t>The Wall Street Journal, 07/18/2001</w:t>
      </w:r>
    </w:p>
    <w:p>
      <w:pPr>
        <w:pStyle w:val="Normal"/>
        <w:ind w:end="-360"/>
        <w:jc w:val="both"/>
        <w:rPr>
          <w:b/>
          <w:bCs/>
          <w:i/>
          <w:i/>
          <w:iCs/>
          <w:shadow/>
          <w:color w:val="808080"/>
          <w:sz w:val="22"/>
          <w:u w:val="single"/>
        </w:rPr>
      </w:pPr>
      <w:r>
        <w:rPr>
          <w:b/>
          <w:bCs/>
          <w:i/>
          <w:iCs/>
          <w:shadow/>
          <w:color w:val="808080"/>
          <w:sz w:val="22"/>
          <w:u w:val="single"/>
        </w:rPr>
      </w:r>
    </w:p>
    <w:p>
      <w:pPr>
        <w:pStyle w:val="Normal"/>
        <w:ind w:start="-360" w:end="-360"/>
        <w:jc w:val="center"/>
        <w:rPr>
          <w:b/>
          <w:bCs/>
          <w:shadow/>
          <w:sz w:val="22"/>
          <w:u w:val="single"/>
        </w:rPr>
      </w:pPr>
      <w:r>
        <w:rPr>
          <w:b/>
          <w:bCs/>
          <w:shadow/>
          <w:sz w:val="22"/>
          <w:u w:val="single"/>
        </w:rPr>
        <w:t>Labor Statistics</w:t>
      </w:r>
    </w:p>
    <w:p>
      <w:pPr>
        <w:pStyle w:val="Normal"/>
        <w:ind w:start="-360" w:end="-360"/>
        <w:jc w:val="center"/>
        <w:rPr>
          <w:b/>
          <w:bCs/>
          <w:shadow/>
          <w:sz w:val="22"/>
          <w:u w:val="single"/>
          <w:lang w:val="en-CA" w:eastAsia="en-CA"/>
        </w:rPr>
      </w:pPr>
      <w:r>
        <w:rPr>
          <w:b/>
          <w:bCs/>
          <w:shadow/>
          <w:sz w:val="22"/>
          <w:u w:val="single"/>
          <w:lang w:val="en-CA" w:eastAsia="en-CA"/>
        </w:rPr>
        <w:object w:dxaOrig="5100" w:dyaOrig="3747">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0pt;margin-top:18.65pt;width:255pt;height:187.35pt;mso-wrap-distance-left:9.05pt;mso-wrap-distance-right:9.05pt;mso-position-horizontal-relative:text;mso-position-vertical-relative:text" filled="t" fillcolor="#FFFFFF" o:ole="">
            <v:imagedata r:id="rId10" o:title=""/>
            <w10:wrap type="topAndBottom"/>
          </v:shape>
          <o:OLEObject Type="Embed" ProgID="Word.Document.12" ShapeID="ole_rId9" DrawAspect="Content" ObjectID="_1262152041" r:id="rId9"/>
        </w:object>
        <w:object w:dxaOrig="5130" w:dyaOrig="3747">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243pt;margin-top:18.65pt;width:256.5pt;height:187.35pt;mso-wrap-distance-left:9.05pt;mso-wrap-distance-right:9.05pt;mso-position-horizontal-relative:text;mso-position-vertical-relative:text" filled="t" fillcolor="#FFFFFF" o:ole="">
            <v:imagedata r:id="rId12" o:title=""/>
            <w10:wrap type="topAndBottom"/>
          </v:shape>
          <o:OLEObject Type="Embed" ProgID="Word.Document.12" ShapeID="ole_rId11" DrawAspect="Content" ObjectID="_318923968" r:id="rId11"/>
        </w:object>
      </w:r>
    </w:p>
    <w:p>
      <w:pPr>
        <w:pStyle w:val="Normal"/>
        <w:ind w:start="-360" w:end="-360"/>
        <w:jc w:val="both"/>
        <w:rPr>
          <w:b/>
          <w:bCs/>
          <w:shadow/>
          <w:sz w:val="22"/>
          <w:u w:val="single"/>
        </w:rPr>
      </w:pPr>
      <w:r>
        <w:rPr>
          <w:b/>
          <w:bCs/>
          <w:shadow/>
          <w:sz w:val="22"/>
          <w:u w:val="single"/>
        </w:rPr>
      </w:r>
    </w:p>
    <w:p>
      <w:pPr>
        <w:pStyle w:val="Normal"/>
        <w:ind w:end="-360"/>
        <w:jc w:val="both"/>
        <w:rPr>
          <w:b/>
          <w:bCs/>
          <w:shadow/>
          <w:u w:val="single"/>
        </w:rPr>
      </w:pPr>
      <w:r>
        <w:rPr>
          <w:b/>
          <w:bCs/>
          <w:shadow/>
          <w:u w:val="single"/>
        </w:rPr>
        <w:t>Slow Economy Holding Down Cost Of Labor</w:t>
      </w:r>
    </w:p>
    <w:p>
      <w:pPr>
        <w:pStyle w:val="Normal"/>
        <w:ind w:end="-360"/>
        <w:jc w:val="both"/>
        <w:rPr/>
      </w:pPr>
      <w:r>
        <w:rPr/>
        <w:t xml:space="preserve">The U.S. Labor Department reported that the employment cost index rose 0.9 percent in the second quarter after increasing 1.1 percent in the first quarter.  According to analysts, slow economic growth and a surge in job cuts will limit the rise in labor costs this year. Wages and salaries rose 1 percent in the second quarter, matching the first-quarter increase, and the cost of employee benefits rose less than in the first quarter. </w:t>
      </w:r>
    </w:p>
    <w:p>
      <w:pPr>
        <w:pStyle w:val="Normal"/>
        <w:ind w:end="-360"/>
        <w:jc w:val="both"/>
        <w:rPr>
          <w:sz w:val="16"/>
        </w:rPr>
      </w:pPr>
      <w:r>
        <w:rPr>
          <w:sz w:val="16"/>
        </w:rPr>
      </w:r>
    </w:p>
    <w:p>
      <w:pPr>
        <w:pStyle w:val="Normal"/>
        <w:ind w:end="-360"/>
        <w:jc w:val="both"/>
        <w:rPr/>
      </w:pPr>
      <w:r>
        <w:rPr/>
        <w:t xml:space="preserve">The Labor Department also said that first-time claims for unemployment benefits plunged by 51,000 last week, to 360,000, although continuing claims remained close to their highest level since October 1992. </w:t>
      </w:r>
    </w:p>
    <w:p>
      <w:pPr>
        <w:pStyle w:val="Normal"/>
        <w:ind w:start="-360" w:end="-360"/>
        <w:jc w:val="center"/>
        <w:rPr>
          <w:b/>
          <w:bCs/>
          <w:shadow/>
          <w:sz w:val="22"/>
          <w:u w:val="single"/>
        </w:rPr>
      </w:pPr>
      <w:r>
        <w:rPr>
          <w:b/>
          <w:bCs/>
          <w:shadow/>
          <w:sz w:val="22"/>
          <w:u w:val="single"/>
        </w:rPr>
      </w:r>
    </w:p>
    <w:p>
      <w:pPr>
        <w:pStyle w:val="Normal"/>
        <w:ind w:start="-360" w:end="-360"/>
        <w:jc w:val="center"/>
        <w:rPr>
          <w:b/>
          <w:bCs/>
          <w:shadow/>
          <w:sz w:val="22"/>
          <w:u w:val="single"/>
        </w:rPr>
      </w:pPr>
      <w:r>
        <w:rPr>
          <w:b/>
          <w:bCs/>
          <w:shadow/>
          <w:sz w:val="22"/>
          <w:u w:val="single"/>
        </w:rPr>
      </w:r>
    </w:p>
    <w:p>
      <w:pPr>
        <w:pStyle w:val="Normal"/>
        <w:ind w:start="-360" w:end="-360"/>
        <w:jc w:val="center"/>
        <w:rPr>
          <w:b/>
          <w:bCs/>
          <w:shadow/>
          <w:sz w:val="22"/>
          <w:u w:val="single"/>
        </w:rPr>
      </w:pPr>
      <w:r>
        <w:rPr>
          <w:b/>
          <w:bCs/>
          <w:shadow/>
          <w:sz w:val="22"/>
          <w:u w:val="single"/>
        </w:rPr>
        <w:t>Local Workforce News</w:t>
      </w:r>
    </w:p>
    <w:p>
      <w:pPr>
        <w:pStyle w:val="Normal"/>
        <w:jc w:val="both"/>
        <w:rPr>
          <w:b/>
          <w:bCs/>
          <w:shadow/>
          <w:sz w:val="22"/>
          <w:u w:val="single"/>
        </w:rPr>
      </w:pPr>
      <w:r>
        <w:rPr>
          <w:b/>
          <w:bCs/>
          <w:shadow/>
          <w:sz w:val="22"/>
          <w:u w:val="single"/>
        </w:rPr>
      </w:r>
    </w:p>
    <w:p>
      <w:pPr>
        <w:pStyle w:val="Heading4"/>
        <w:ind w:hanging="0" w:start="0"/>
        <w:rPr>
          <w:shadow/>
        </w:rPr>
      </w:pPr>
      <w:r>
        <w:rPr>
          <w:shadow/>
        </w:rPr>
        <w:t xml:space="preserve">Houston Unemployment on the Rise </w:t>
      </w:r>
    </w:p>
    <w:p>
      <w:pPr>
        <w:pStyle w:val="Normal"/>
        <w:jc w:val="both"/>
        <w:rPr/>
      </w:pPr>
      <w:r>
        <w:rPr/>
        <w:t xml:space="preserve">Houston's economy continues to show signs of slowing down.  For June, Houston's unemployment rate jumped to 4.9 percent from May's 3.9 percent.  One reason for the increase is the large number of high school and college students who look for jobs as the summer kicks off. </w:t>
      </w:r>
    </w:p>
    <w:p>
      <w:pPr>
        <w:pStyle w:val="Normal"/>
        <w:jc w:val="both"/>
        <w:rPr>
          <w:sz w:val="10"/>
        </w:rPr>
      </w:pPr>
      <w:r>
        <w:rPr>
          <w:sz w:val="10"/>
        </w:rPr>
      </w:r>
    </w:p>
    <w:p>
      <w:pPr>
        <w:pStyle w:val="Normal"/>
        <w:jc w:val="both"/>
        <w:rPr/>
      </w:pPr>
      <w:r>
        <w:rPr/>
        <w:t xml:space="preserve">The most recent job growth report from the Texas Workforce Commission indicates that Houston added 51,200 jobs in the past 12 months for a 2.4 percent rate of growth.  That's the same year-over-year rate of growth as a month earlier.  However, the job growth may be inflated because last year's data included 6,000 temporary Census Bureau workers. </w:t>
      </w:r>
    </w:p>
    <w:p>
      <w:pPr>
        <w:pStyle w:val="Normal"/>
        <w:jc w:val="both"/>
        <w:rPr>
          <w:sz w:val="10"/>
        </w:rPr>
      </w:pPr>
      <w:r>
        <w:rPr>
          <w:sz w:val="10"/>
        </w:rPr>
      </w:r>
    </w:p>
    <w:p>
      <w:pPr>
        <w:pStyle w:val="Normal"/>
        <w:jc w:val="both"/>
        <w:rPr/>
      </w:pPr>
      <w:r>
        <w:rPr/>
        <w:t xml:space="preserve">Though the overall economy appears to be slowing down, some sectors are gaining ground, according to the June report.  The local energy sector continued to add workers, gaining 1,400 in the last month. </w:t>
      </w:r>
    </w:p>
    <w:p>
      <w:pPr>
        <w:pStyle w:val="Heading5"/>
        <w:autoSpaceDE w:val="true"/>
        <w:ind w:hanging="0" w:start="0"/>
        <w:jc w:val="both"/>
        <w:rPr>
          <w:shadow/>
        </w:rPr>
      </w:pPr>
      <w:r>
        <w:rPr>
          <w:shadow/>
        </w:rPr>
      </w:r>
    </w:p>
    <w:p>
      <w:pPr>
        <w:pStyle w:val="Normal"/>
        <w:ind w:start="-360" w:end="-360"/>
        <w:jc w:val="center"/>
        <w:rPr>
          <w:b/>
          <w:bCs/>
          <w:shadow/>
          <w:sz w:val="22"/>
          <w:u w:val="single"/>
        </w:rPr>
      </w:pPr>
      <w:r>
        <w:rPr>
          <w:b/>
          <w:bCs/>
          <w:shadow/>
          <w:sz w:val="22"/>
          <w:u w:val="single"/>
        </w:rPr>
        <w:t>Legal Briefs</w:t>
      </w:r>
    </w:p>
    <w:p>
      <w:pPr>
        <w:pStyle w:val="Normal"/>
        <w:ind w:start="-360" w:end="-360"/>
        <w:jc w:val="both"/>
        <w:rPr>
          <w:b/>
          <w:bCs/>
          <w:shadow/>
          <w:sz w:val="22"/>
          <w:u w:val="single"/>
        </w:rPr>
      </w:pPr>
      <w:r>
        <w:rPr>
          <w:b/>
          <w:bCs/>
          <w:shadow/>
          <w:sz w:val="22"/>
          <w:u w:val="single"/>
        </w:rPr>
      </w:r>
    </w:p>
    <w:p>
      <w:pPr>
        <w:pStyle w:val="Heading4"/>
        <w:ind w:hanging="0" w:start="0"/>
        <w:rPr>
          <w:shadow/>
        </w:rPr>
      </w:pPr>
      <w:r>
        <w:rPr>
          <w:shadow/>
        </w:rPr>
        <w:t>Spurned New Hires Have Their Say</w:t>
      </w:r>
    </w:p>
    <w:p>
      <w:pPr>
        <w:pStyle w:val="BodyText2"/>
        <w:autoSpaceDE w:val="true"/>
        <w:rPr/>
      </w:pPr>
      <w:r>
        <w:rPr>
          <w:szCs w:val="20"/>
        </w:rPr>
        <w:t xml:space="preserve">The economic downturn has resulted in an increasing number of companies firing new employees before they have started work. According to the companies, they have had to eliminate jobs as a result of economic conditions. Unless the discharged employee can prove that the company misled them, the practice is </w:t>
      </w:r>
      <w:r>
        <w:rPr>
          <w:szCs w:val="20"/>
          <w:u w:val="single"/>
        </w:rPr>
        <w:t>not</w:t>
      </w:r>
      <w:r>
        <w:rPr>
          <w:szCs w:val="20"/>
        </w:rPr>
        <w:t xml:space="preserve"> illegal, workplace experts have said. </w:t>
      </w:r>
    </w:p>
    <w:p>
      <w:pPr>
        <w:pStyle w:val="BodyText2"/>
        <w:autoSpaceDE w:val="true"/>
        <w:rPr>
          <w:sz w:val="6"/>
          <w:szCs w:val="20"/>
        </w:rPr>
      </w:pPr>
      <w:r>
        <w:rPr>
          <w:sz w:val="6"/>
          <w:szCs w:val="20"/>
        </w:rPr>
      </w:r>
    </w:p>
    <w:p>
      <w:pPr>
        <w:pStyle w:val="BodyText2"/>
        <w:autoSpaceDE w:val="true"/>
        <w:rPr>
          <w:szCs w:val="20"/>
        </w:rPr>
      </w:pPr>
      <w:r>
        <w:rPr>
          <w:szCs w:val="20"/>
        </w:rPr>
        <w:t xml:space="preserve">In order to prove employment fraud, it must be established that an employer misled a new hire with false statements, even if the person who made them believed them, according to labor lawyers. Plaintiffs can be entitled to punitive damages in rare instances. Experts advised that employees who are dismissed should think twice before taking legal action. </w:t>
      </w:r>
    </w:p>
    <w:p>
      <w:pPr>
        <w:pStyle w:val="Heading4"/>
        <w:ind w:hanging="0" w:start="0"/>
        <w:rPr>
          <w:shadow/>
          <w:sz w:val="10"/>
          <w:szCs w:val="20"/>
        </w:rPr>
      </w:pPr>
      <w:r>
        <w:rPr>
          <w:shadow/>
          <w:sz w:val="10"/>
          <w:szCs w:val="20"/>
        </w:rPr>
      </w:r>
    </w:p>
    <w:p>
      <w:pPr>
        <w:pStyle w:val="Heading2"/>
        <w:ind w:hanging="0" w:start="0"/>
        <w:jc w:val="both"/>
        <w:rPr>
          <w:shadow/>
          <w:sz w:val="20"/>
          <w:u w:val="single"/>
        </w:rPr>
      </w:pPr>
      <w:r>
        <w:rPr>
          <w:shadow/>
          <w:sz w:val="20"/>
          <w:u w:val="single"/>
        </w:rPr>
        <w:t>Employers win more on appeal</w:t>
      </w:r>
    </w:p>
    <w:p>
      <w:pPr>
        <w:pStyle w:val="Normal"/>
        <w:jc w:val="both"/>
        <w:rPr>
          <w:shadow/>
        </w:rPr>
      </w:pPr>
      <w:r>
        <w:rPr/>
        <w:t>Two professors at Cornell University's law school recently released startling news for employees who sue alleging discrimination.  In their review of federal appellate court records, Stewart Schwab and Theodore Eisenberg found that employers do a lot better on appeal than employees.  Specifically, if an employer appeals an employee's trial victory, the employer has a 43 percent chance of reversing the decision. But if the employee appeals an employer's victory at trial, the employee has a 5 percent chance of reversing the case.  One reason is many lawyers for plaintiffs focus on the trial and don't position themselves for an eventual appeal. Defense lawyers typically position themselves for both.</w:t>
      </w:r>
    </w:p>
    <w:p>
      <w:pPr>
        <w:pStyle w:val="Heading4"/>
        <w:ind w:hanging="0" w:start="0"/>
        <w:rPr>
          <w:shadow/>
          <w:sz w:val="10"/>
        </w:rPr>
      </w:pPr>
      <w:r>
        <w:rPr>
          <w:shadow/>
          <w:sz w:val="10"/>
        </w:rPr>
      </w:r>
    </w:p>
    <w:p>
      <w:pPr>
        <w:pStyle w:val="Heading4"/>
        <w:ind w:hanging="0" w:start="0"/>
        <w:rPr>
          <w:shadow/>
        </w:rPr>
      </w:pPr>
      <w:r>
        <w:rPr>
          <w:shadow/>
        </w:rPr>
        <w:t>Mental Illness: A Compliance Issue</w:t>
      </w:r>
    </w:p>
    <w:p>
      <w:pPr>
        <w:pStyle w:val="Normal"/>
        <w:jc w:val="both"/>
        <w:rPr>
          <w:u w:val="single"/>
        </w:rPr>
      </w:pPr>
      <w:r>
        <w:rPr/>
        <w:t>A confluence of legal, medical, and social changes has made it possible for more people with serious mental illnesses to enter the workplace, and more managers will have to learn how to deal with it, the Wall Street Journal reports.  There is a payoff, though, for companies that do hire and retain employees with serious mental disorders; many workers with such illnesses have shown the strength to overcome great barriers and go far in their careers.</w:t>
      </w:r>
    </w:p>
    <w:p>
      <w:pPr>
        <w:pStyle w:val="Normal"/>
        <w:tabs>
          <w:tab w:val="clear" w:pos="720"/>
          <w:tab w:val="left" w:pos="5040" w:leader="none"/>
        </w:tabs>
        <w:jc w:val="both"/>
        <w:rPr>
          <w:b/>
          <w:bCs/>
          <w:shadow/>
          <w:sz w:val="10"/>
          <w:u w:val="single"/>
        </w:rPr>
      </w:pPr>
      <w:r>
        <w:rPr>
          <w:b/>
          <w:bCs/>
          <w:shadow/>
          <w:sz w:val="10"/>
          <w:u w:val="single"/>
        </w:rPr>
      </w:r>
    </w:p>
    <w:p>
      <w:pPr>
        <w:pStyle w:val="Heading4"/>
        <w:tabs>
          <w:tab w:val="clear" w:pos="720"/>
          <w:tab w:val="left" w:pos="5040" w:leader="none"/>
        </w:tabs>
        <w:ind w:hanging="0" w:start="0"/>
        <w:rPr>
          <w:shadow/>
        </w:rPr>
      </w:pPr>
      <w:r>
        <w:rPr>
          <w:shadow/>
        </w:rPr>
        <w:t>Drug Tests Receiving More Challenges</w:t>
      </w:r>
    </w:p>
    <w:p>
      <w:pPr>
        <w:pStyle w:val="Normal"/>
        <w:jc w:val="both"/>
        <w:rPr/>
      </w:pPr>
      <w:r>
        <w:rPr/>
        <w:t>Employees are filing lawsuits more often as new methods of detecting illegal drugs are coming into use, and in some cases; juries are awarding hundreds of thousands of dollars.  Critics contend that it has ruined the careers of too many innocent people.  They question the accuracy of even the newer testing methods.  The Department of Health and Human Services inspected 61 federally certified labs where validity testing is done.  About 300 results at 30 labs were canceled after they were found to be questionable.</w:t>
      </w:r>
    </w:p>
    <w:p>
      <w:pPr>
        <w:pStyle w:val="Normal"/>
        <w:ind w:start="-360" w:end="-360"/>
        <w:jc w:val="both"/>
        <w:rPr>
          <w:b/>
          <w:bCs/>
          <w:shadow/>
          <w:sz w:val="10"/>
          <w:u w:val="single"/>
        </w:rPr>
      </w:pPr>
      <w:r>
        <w:rPr>
          <w:b/>
          <w:bCs/>
          <w:shadow/>
          <w:sz w:val="10"/>
          <w:u w:val="single"/>
        </w:rPr>
      </w:r>
    </w:p>
    <w:p>
      <w:pPr>
        <w:pStyle w:val="Heading4"/>
        <w:ind w:hanging="0" w:start="0"/>
        <w:rPr>
          <w:shadow/>
        </w:rPr>
      </w:pPr>
      <w:r>
        <w:rPr>
          <w:shadow/>
        </w:rPr>
        <w:t>U.K. - Employees Personally Liable for Advice</w:t>
      </w:r>
    </w:p>
    <w:p>
      <w:pPr>
        <w:pStyle w:val="Normal"/>
        <w:jc w:val="both"/>
        <w:rPr>
          <w:szCs w:val="20"/>
        </w:rPr>
      </w:pPr>
      <w:r>
        <w:rPr/>
        <w:t>A U.K. appeals court has confirmed that employees in the U.K. are liable for claims brought directly against them for advice given on behalf of their employers.</w:t>
      </w:r>
      <w:r>
        <w:object w:dxaOrig="8640" w:dyaOrig="242">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36pt;margin-top:59.5pt;width:432pt;height:12.1pt;mso-wrap-distance-left:9.05pt;mso-wrap-distance-right:9.05pt;mso-position-horizontal-relative:text;mso-position-vertical-relative:text" filled="f" o:ole="">
            <v:imagedata r:id="rId14" o:title=""/>
            <w10:wrap type="topAndBottom"/>
          </v:shape>
          <o:OLEObject Type="Embed" ProgID="Word.Document.12" ShapeID="ole_rId13" DrawAspect="Content" ObjectID="_51560766" r:id="rId13"/>
        </w:object>
      </w:r>
      <w:r>
        <w:rPr/>
        <w:t xml:space="preserve">  The House of Lords Appeals Committee refused to review the case of </w:t>
      </w:r>
      <w:r>
        <w:rPr>
          <w:i/>
          <w:iCs/>
        </w:rPr>
        <w:t>Merrett vs. Babb</w:t>
      </w:r>
      <w:r>
        <w:rPr/>
        <w:t>.  Earlier this year, the Court of Appeal heard the case and ruled that an employee of a mortgage company—not his employer—was liable for advice given in the course of his work.</w:t>
      </w:r>
    </w:p>
    <w:p>
      <w:pPr>
        <w:pStyle w:val="Normal"/>
        <w:ind w:start="-360" w:end="-360"/>
        <w:jc w:val="center"/>
        <w:rPr>
          <w:b/>
          <w:bCs/>
          <w:shadow/>
          <w:szCs w:val="20"/>
          <w:u w:val="single"/>
        </w:rPr>
      </w:pPr>
      <w:r>
        <w:rPr>
          <w:b/>
          <w:bCs/>
          <w:shadow/>
          <w:szCs w:val="20"/>
          <w:u w:val="single"/>
        </w:rPr>
      </w:r>
    </w:p>
    <w:p>
      <w:pPr>
        <w:pStyle w:val="Heading5"/>
        <w:autoSpaceDE w:val="true"/>
        <w:ind w:hanging="0" w:start="0"/>
        <w:rPr>
          <w:shadow/>
        </w:rPr>
      </w:pPr>
      <w:r>
        <w:rPr>
          <w:shadow/>
        </w:rPr>
        <w:t>Employee Morale</w:t>
      </w:r>
    </w:p>
    <w:p>
      <w:pPr>
        <w:pStyle w:val="Normal"/>
        <w:jc w:val="both"/>
        <w:rPr>
          <w:b/>
          <w:bCs/>
          <w:shadow/>
          <w:sz w:val="22"/>
          <w:u w:val="single"/>
        </w:rPr>
      </w:pPr>
      <w:r>
        <w:rPr>
          <w:b/>
          <w:bCs/>
          <w:shadow/>
          <w:sz w:val="22"/>
          <w:u w:val="single"/>
        </w:rPr>
      </w:r>
    </w:p>
    <w:p>
      <w:pPr>
        <w:pStyle w:val="Heading4"/>
        <w:ind w:hanging="0" w:start="0"/>
        <w:rPr>
          <w:shadow/>
        </w:rPr>
      </w:pPr>
      <w:r>
        <w:rPr>
          <w:shadow/>
        </w:rPr>
        <w:t>Morale into Money</w:t>
      </w:r>
    </w:p>
    <w:p>
      <w:pPr>
        <w:pStyle w:val="Normal"/>
        <w:jc w:val="both"/>
        <w:rPr>
          <w:szCs w:val="18"/>
        </w:rPr>
      </w:pPr>
      <w:r>
        <w:rPr>
          <w:szCs w:val="18"/>
        </w:rPr>
        <w:t>Do places with happier employees make more money?  In 1999, David Maister surveyed 5,500 employees of a large advertising and media conglomerate who were dispersed among 139 offices in 15 countries.  Maister wanted to know their feelings about their own office's culture.  He used a questionnaire that combined an employee survey he'd used before with the values statement of Goldman Sachs -- a measure, if there ever was one, of a profitable company.  Maister wanted to prove something that we all think is true but can't quantify: that the management in a particular office can make a difference in financial performance.</w:t>
      </w:r>
    </w:p>
    <w:p>
      <w:pPr>
        <w:pStyle w:val="Normal"/>
        <w:jc w:val="both"/>
        <w:rPr>
          <w:sz w:val="10"/>
          <w:szCs w:val="18"/>
        </w:rPr>
      </w:pPr>
      <w:r>
        <w:rPr>
          <w:sz w:val="10"/>
          <w:szCs w:val="18"/>
        </w:rPr>
      </w:r>
    </w:p>
    <w:p>
      <w:pPr>
        <w:pStyle w:val="Normal"/>
        <w:jc w:val="both"/>
        <w:rPr>
          <w:b/>
          <w:bCs/>
          <w:shadow/>
          <w:u w:val="single"/>
        </w:rPr>
      </w:pPr>
      <w:r>
        <w:rPr>
          <w:szCs w:val="18"/>
        </w:rPr>
        <w:t>Maister has been able to show a real, causal relationship between employee satisfaction, the role of the manager, and pure, unadulterated profit.  His study found that a company could boost its financial performance (measured by an index combining two-year percentage growth in revenues and profit, margin, and profit per employee) by as much as 42% by raising employee satisfaction by 20%.  In h</w:t>
      </w:r>
      <w:r>
        <w:rPr>
          <w:sz w:val="18"/>
          <w:szCs w:val="18"/>
        </w:rPr>
        <w:t>i</w:t>
      </w:r>
      <w:r>
        <w:rPr>
          <w:szCs w:val="18"/>
        </w:rPr>
        <w:t>s study, the top 20% of offices with the best financial performance most significantly outperformed the others when it came to ranking one statement: "Enthusiasm and morale are high."</w:t>
      </w:r>
    </w:p>
    <w:p>
      <w:pPr>
        <w:pStyle w:val="Normal"/>
        <w:jc w:val="both"/>
        <w:rPr/>
      </w:pPr>
      <w:hyperlink r:id="rId15">
        <w:r>
          <w:rPr>
            <w:rStyle w:val="Hyperlink"/>
            <w:color w:val="800080"/>
          </w:rPr>
          <w:t>Link to Articl</w:t>
        </w:r>
      </w:hyperlink>
      <w:r>
        <w:rPr>
          <w:color w:val="800080"/>
          <w:u w:val="single"/>
        </w:rPr>
        <w:t>e</w:t>
      </w:r>
    </w:p>
    <w:p>
      <w:pPr>
        <w:pStyle w:val="Normal"/>
        <w:ind w:end="-360"/>
        <w:jc w:val="both"/>
        <w:rPr>
          <w:color w:val="800080"/>
          <w:sz w:val="22"/>
          <w:u w:val="single"/>
        </w:rPr>
      </w:pPr>
      <w:r>
        <w:rPr>
          <w:color w:val="800080"/>
          <w:sz w:val="22"/>
          <w:u w:val="single"/>
        </w:rPr>
      </w:r>
    </w:p>
    <w:p>
      <w:pPr>
        <w:pStyle w:val="Normal"/>
        <w:ind w:end="-360"/>
        <w:jc w:val="both"/>
        <w:rPr>
          <w:b/>
          <w:bCs/>
          <w:shadow/>
          <w:u w:val="single"/>
        </w:rPr>
      </w:pPr>
      <w:r>
        <w:rPr>
          <w:b/>
          <w:bCs/>
          <w:shadow/>
          <w:u w:val="single"/>
        </w:rPr>
        <w:t>Building Morale</w:t>
      </w:r>
    </w:p>
    <w:p>
      <w:pPr>
        <w:pStyle w:val="Normal"/>
        <w:jc w:val="both"/>
        <w:rPr>
          <w:rFonts w:eastAsia="Arial Unicode MS"/>
        </w:rPr>
      </w:pPr>
      <w:r>
        <w:rPr/>
        <w:t xml:space="preserve">Morale exists when people know their jobs and how their job complements those of everyone else. They focus on working together to accomplish the mission of the business.  Another indication of high morale is where people in the organization see action required and willingly sacrifice their goals for the goals of others and the organization.  </w:t>
      </w:r>
    </w:p>
    <w:p>
      <w:pPr>
        <w:pStyle w:val="Normal"/>
        <w:jc w:val="both"/>
        <w:rPr>
          <w:rFonts w:eastAsia="Arial Unicode MS"/>
          <w:sz w:val="10"/>
        </w:rPr>
      </w:pPr>
      <w:r>
        <w:rPr>
          <w:rFonts w:eastAsia="Arial Unicode MS"/>
          <w:sz w:val="10"/>
        </w:rPr>
      </w:r>
    </w:p>
    <w:p>
      <w:pPr>
        <w:pStyle w:val="Normal"/>
        <w:jc w:val="both"/>
        <w:rPr/>
      </w:pPr>
      <w:r>
        <w:rPr/>
        <w:t>The following characteristics existing in high morale organizations:</w:t>
      </w:r>
    </w:p>
    <w:p>
      <w:pPr>
        <w:pStyle w:val="Normal"/>
        <w:jc w:val="both"/>
        <w:rPr>
          <w:sz w:val="16"/>
        </w:rPr>
      </w:pPr>
      <w:r>
        <w:rPr>
          <w:sz w:val="16"/>
        </w:rPr>
      </w:r>
    </w:p>
    <w:p>
      <w:pPr>
        <w:pStyle w:val="Normal"/>
        <w:numPr>
          <w:ilvl w:val="0"/>
          <w:numId w:val="2"/>
        </w:numPr>
        <w:jc w:val="both"/>
        <w:rPr>
          <w:rFonts w:eastAsia="Arial Unicode MS"/>
        </w:rPr>
      </w:pPr>
      <w:r>
        <w:rPr/>
        <w:t>First, grant workers more and more responsibility for the performance and quality of their jobs. Empower them to spend company assets, money, to satisfy customer requirements in order to retain them as repeat customers.</w:t>
      </w:r>
    </w:p>
    <w:p>
      <w:pPr>
        <w:pStyle w:val="Normal"/>
        <w:jc w:val="both"/>
        <w:rPr>
          <w:rFonts w:eastAsia="Arial Unicode MS"/>
          <w:sz w:val="6"/>
        </w:rPr>
      </w:pPr>
      <w:r>
        <w:rPr>
          <w:rFonts w:eastAsia="Tahoma"/>
        </w:rPr>
        <w:t xml:space="preserve"> </w:t>
      </w:r>
    </w:p>
    <w:p>
      <w:pPr>
        <w:pStyle w:val="Normal"/>
        <w:numPr>
          <w:ilvl w:val="0"/>
          <w:numId w:val="2"/>
        </w:numPr>
        <w:jc w:val="both"/>
        <w:rPr/>
      </w:pPr>
      <w:r>
        <w:rPr/>
        <w:t>Second, reward workers for exceeding the expectations of their job, contributing to product and service improvements and reducing costs without lowering quality.</w:t>
      </w:r>
    </w:p>
    <w:p>
      <w:pPr>
        <w:pStyle w:val="Normal"/>
        <w:jc w:val="both"/>
        <w:rPr>
          <w:sz w:val="6"/>
        </w:rPr>
      </w:pPr>
      <w:r>
        <w:rPr>
          <w:rFonts w:eastAsia="Tahoma"/>
        </w:rPr>
        <w:t xml:space="preserve"> </w:t>
      </w:r>
    </w:p>
    <w:p>
      <w:pPr>
        <w:pStyle w:val="Normal"/>
        <w:numPr>
          <w:ilvl w:val="0"/>
          <w:numId w:val="2"/>
        </w:numPr>
        <w:jc w:val="both"/>
        <w:rPr/>
      </w:pPr>
      <w:r>
        <w:rPr/>
        <w:t xml:space="preserve">Third, workers, without fear of any reprisal, have the right to have their grievances seriously considered and acted on by management in a reasonable time.  Even in high-morale organizations, you can expect people to have differences. When differences arise, the faster you can settle them the lower the disruption to the organization. </w:t>
      </w:r>
    </w:p>
    <w:p>
      <w:pPr>
        <w:pStyle w:val="Header"/>
        <w:tabs>
          <w:tab w:val="clear" w:pos="4320"/>
          <w:tab w:val="clear" w:pos="8640"/>
        </w:tabs>
        <w:jc w:val="both"/>
        <w:rPr>
          <w:color w:val="800080"/>
          <w:u w:val="single"/>
        </w:rPr>
      </w:pPr>
      <w:hyperlink r:id="rId16">
        <w:r>
          <w:rPr>
            <w:rStyle w:val="Hyperlink"/>
            <w:color w:val="800080"/>
            <w:szCs w:val="20"/>
          </w:rPr>
          <w:t>Link to Articl</w:t>
        </w:r>
      </w:hyperlink>
      <w:r>
        <w:rPr>
          <w:color w:val="800080"/>
          <w:szCs w:val="20"/>
          <w:u w:val="single"/>
        </w:rPr>
        <w:t>e</w:t>
      </w:r>
    </w:p>
    <w:p>
      <w:pPr>
        <w:pStyle w:val="Normal"/>
        <w:ind w:start="-360" w:end="-360"/>
        <w:jc w:val="both"/>
        <w:rPr>
          <w:b/>
          <w:bCs/>
          <w:shadow/>
          <w:color w:val="800080"/>
          <w:u w:val="single"/>
        </w:rPr>
      </w:pPr>
      <w:r>
        <w:rPr>
          <w:b/>
          <w:bCs/>
          <w:shadow/>
          <w:color w:val="800080"/>
          <w:u w:val="single"/>
        </w:rPr>
      </w:r>
    </w:p>
    <w:p>
      <w:pPr>
        <w:pStyle w:val="Normal"/>
        <w:ind w:end="-360"/>
        <w:jc w:val="center"/>
        <w:rPr>
          <w:b/>
          <w:bCs/>
          <w:shadow/>
          <w:u w:val="single"/>
        </w:rPr>
      </w:pPr>
      <w:r>
        <w:rPr>
          <w:b/>
          <w:bCs/>
          <w:shadow/>
          <w:sz w:val="22"/>
          <w:u w:val="single"/>
        </w:rPr>
        <w:t>Corporate Portals</w:t>
      </w:r>
    </w:p>
    <w:p>
      <w:pPr>
        <w:pStyle w:val="Normal"/>
        <w:spacing w:before="100" w:after="100"/>
        <w:jc w:val="both"/>
        <w:rPr>
          <w:b/>
          <w:bCs/>
          <w:shadow/>
          <w:u w:val="single"/>
        </w:rPr>
      </w:pPr>
      <w:r>
        <w:rPr>
          <w:b/>
          <w:bCs/>
          <w:shadow/>
          <w:u w:val="single"/>
        </w:rPr>
        <w:t>Portals: The Wave of the Future</w:t>
      </w:r>
    </w:p>
    <w:p>
      <w:pPr>
        <w:pStyle w:val="Normal"/>
        <w:spacing w:before="100" w:after="100"/>
        <w:jc w:val="both"/>
        <w:rPr>
          <w:rFonts w:eastAsia="Arial Unicode MS"/>
        </w:rPr>
      </w:pPr>
      <w:r>
        <w:rPr/>
        <w:t xml:space="preserve">The findings of several independent research studies validate employers’ growing use of, and reliance on, Web-based applications and solutions. </w:t>
      </w:r>
      <w:r>
        <w:rPr>
          <w:szCs w:val="20"/>
        </w:rPr>
        <w:t>Companies’ use of portals (estimated at just 16% in 1999) is expected to jump 80% by the end of this year, with top applications including knowledge management and learning support, business process support, customer-facing services and self-service opportunities.</w:t>
      </w:r>
      <w:r>
        <w:rPr/>
        <w:t xml:space="preserve"> </w:t>
      </w:r>
    </w:p>
    <w:p>
      <w:pPr>
        <w:pStyle w:val="Normal"/>
        <w:numPr>
          <w:ilvl w:val="0"/>
          <w:numId w:val="3"/>
        </w:numPr>
        <w:spacing w:before="100" w:after="100"/>
        <w:jc w:val="both"/>
        <w:rPr/>
      </w:pPr>
      <w:r>
        <w:rPr>
          <w:szCs w:val="20"/>
        </w:rPr>
        <w:t>Fully 85% of businesses are expected to have portals in development by 2003 (Meta Group).</w:t>
      </w:r>
      <w:r>
        <w:rPr/>
        <w:t xml:space="preserve"> </w:t>
      </w:r>
    </w:p>
    <w:p>
      <w:pPr>
        <w:pStyle w:val="Normal"/>
        <w:numPr>
          <w:ilvl w:val="0"/>
          <w:numId w:val="3"/>
        </w:numPr>
        <w:spacing w:before="100" w:after="100"/>
        <w:jc w:val="both"/>
        <w:rPr/>
      </w:pPr>
      <w:r>
        <w:rPr>
          <w:szCs w:val="20"/>
        </w:rPr>
        <w:t>Use of digital technologies can help companies save as much as half of their direct costs for production and delivery of paper-based HR and related documents (Killen &amp; Associates).</w:t>
      </w:r>
      <w:r>
        <w:rPr/>
        <w:t xml:space="preserve"> </w:t>
      </w:r>
    </w:p>
    <w:p>
      <w:pPr>
        <w:pStyle w:val="Normal"/>
        <w:numPr>
          <w:ilvl w:val="0"/>
          <w:numId w:val="3"/>
        </w:numPr>
        <w:spacing w:before="100" w:after="100"/>
        <w:jc w:val="both"/>
        <w:rPr>
          <w:b/>
          <w:bCs/>
          <w:shadow/>
          <w:u w:val="single"/>
        </w:rPr>
      </w:pPr>
      <w:r>
        <w:rPr>
          <w:szCs w:val="20"/>
        </w:rPr>
        <w:t>The application service provider (ASP) market is predicted to grow to $7.8 billion by 2004, compared to $296 million in 1999 (IDC).</w:t>
      </w:r>
      <w:r>
        <w:rPr/>
        <w:t xml:space="preserve"> </w:t>
      </w:r>
    </w:p>
    <w:p>
      <w:pPr>
        <w:pStyle w:val="Normal"/>
        <w:spacing w:before="100" w:after="100"/>
        <w:jc w:val="both"/>
        <w:rPr>
          <w:b/>
          <w:bCs/>
          <w:shadow/>
          <w:u w:val="single"/>
        </w:rPr>
      </w:pPr>
      <w:r>
        <w:rPr>
          <w:b/>
          <w:bCs/>
          <w:shadow/>
          <w:u w:val="single"/>
        </w:rPr>
      </w:r>
    </w:p>
    <w:p>
      <w:pPr>
        <w:pStyle w:val="Normal"/>
        <w:ind w:start="-360" w:end="-360"/>
        <w:jc w:val="both"/>
        <w:rPr>
          <w:b/>
          <w:bCs/>
          <w:shadow/>
          <w:u w:val="single"/>
        </w:rPr>
      </w:pPr>
      <w:r>
        <w:rPr>
          <w:b/>
          <w:bCs/>
          <w:shadow/>
          <w:u w:val="single"/>
        </w:rPr>
      </w:r>
    </w:p>
    <w:p>
      <w:pPr>
        <w:pStyle w:val="Normal"/>
        <w:ind w:start="360" w:end="-360"/>
        <w:jc w:val="center"/>
        <w:rPr>
          <w:b/>
          <w:bCs/>
          <w:shadow/>
          <w:sz w:val="22"/>
          <w:u w:val="single"/>
        </w:rPr>
      </w:pPr>
      <w:r>
        <w:rPr>
          <w:b/>
          <w:bCs/>
          <w:shadow/>
          <w:sz w:val="22"/>
          <w:u w:val="single"/>
        </w:rPr>
        <w:t>Benefits</w:t>
      </w:r>
    </w:p>
    <w:p>
      <w:pPr>
        <w:pStyle w:val="Normal"/>
        <w:ind w:start="360" w:end="-360"/>
        <w:jc w:val="center"/>
        <w:rPr>
          <w:b/>
          <w:bCs/>
          <w:shadow/>
          <w:sz w:val="12"/>
          <w:u w:val="single"/>
        </w:rPr>
      </w:pPr>
      <w:r>
        <w:rPr>
          <w:b/>
          <w:bCs/>
          <w:shadow/>
          <w:sz w:val="12"/>
          <w:u w:val="single"/>
        </w:rPr>
      </w:r>
    </w:p>
    <w:p>
      <w:pPr>
        <w:pStyle w:val="Normal"/>
        <w:ind w:end="-360"/>
        <w:jc w:val="both"/>
        <w:rPr>
          <w:b/>
          <w:bCs/>
          <w:shadow/>
          <w:u w:val="single"/>
        </w:rPr>
      </w:pPr>
      <w:r>
        <w:rPr>
          <w:b/>
          <w:bCs/>
          <w:shadow/>
          <w:u w:val="single"/>
        </w:rPr>
        <w:t>Stiff Premiums for HMO Plans Surprise Benefits Managers</w:t>
      </w:r>
    </w:p>
    <w:p>
      <w:pPr>
        <w:pStyle w:val="Normal"/>
        <w:ind w:end="-360"/>
        <w:jc w:val="both"/>
        <w:rPr/>
      </w:pPr>
      <w:r>
        <w:rPr/>
        <w:t xml:space="preserve">As corporate benefit managers began to negotiate HMO premium increases for 2002, they were being surprised by the higher than expected rates being proposed by the insurers. According to a major New York consultant, managers anticipated increases in the 10 to 12 percent range, but health plans were asking for increases that averaged about 20 percent, though they will most likely agree to a rate that was somewhat lower. </w:t>
      </w:r>
    </w:p>
    <w:p>
      <w:pPr>
        <w:pStyle w:val="Normal"/>
        <w:ind w:end="-360"/>
        <w:jc w:val="both"/>
        <w:rPr>
          <w:sz w:val="8"/>
        </w:rPr>
      </w:pPr>
      <w:r>
        <w:rPr>
          <w:sz w:val="8"/>
        </w:rPr>
      </w:r>
    </w:p>
    <w:p>
      <w:pPr>
        <w:pStyle w:val="Normal"/>
        <w:ind w:end="-360"/>
        <w:jc w:val="both"/>
        <w:rPr/>
      </w:pPr>
      <w:r>
        <w:rPr/>
        <w:t>The greater use of higher cost drugs, doctor and hospital groups consolidating to negotiate better compensation, and a backlash against managed care's efforts to control costs have all contributed to the bigger bill for health insurance. Most employers will pass along a portion of the premium increase to employees, with such changes as higher co-pays for office visits or for prescriptions, though if costs continued to rise, a consultant suggested, "We could see employees looking at 50 percent increases or more in their health costs."</w:t>
      </w:r>
    </w:p>
    <w:p>
      <w:pPr>
        <w:pStyle w:val="Normal"/>
        <w:ind w:start="-360" w:end="-360"/>
        <w:jc w:val="both"/>
        <w:rPr>
          <w:b/>
          <w:bCs/>
          <w:shadow/>
          <w:u w:val="single"/>
        </w:rPr>
      </w:pPr>
      <w:r>
        <w:rPr>
          <w:b/>
          <w:bCs/>
          <w:shadow/>
          <w:u w:val="single"/>
        </w:rPr>
      </w:r>
    </w:p>
    <w:p>
      <w:pPr>
        <w:pStyle w:val="Normal"/>
        <w:ind w:end="-360"/>
        <w:jc w:val="both"/>
        <w:rPr>
          <w:b/>
          <w:bCs/>
          <w:shadow/>
          <w:u w:val="single"/>
        </w:rPr>
      </w:pPr>
      <w:r>
        <w:rPr>
          <w:b/>
          <w:bCs/>
          <w:shadow/>
          <w:u w:val="single"/>
        </w:rPr>
        <w:t>Sound Advice</w:t>
      </w:r>
    </w:p>
    <w:p>
      <w:pPr>
        <w:pStyle w:val="Normal"/>
        <w:ind w:end="-360"/>
        <w:jc w:val="both"/>
        <w:rPr/>
      </w:pPr>
      <w:r>
        <w:rPr/>
        <w:t>The U.S. Labor Department has decided to support legislation that would let retirement plan providers offer financial advice to participants. The bill, known as the Retirement Security Advice Act (HR 2269), would allow providers to give such advice even when their own funds are involved.  Ann L. Combs, Asst. Secretary of Labor for Pension and Welfare Benefits, remarked that current law unintentionally discourages employers from providing their workers with access to high-quality investment advice.  "We believe the bill creates a strong, protective framework for the provision of investment advice to participants."</w:t>
      </w:r>
    </w:p>
    <w:p>
      <w:pPr>
        <w:pStyle w:val="Normal"/>
        <w:jc w:val="both"/>
        <w:rPr>
          <w:shadow/>
          <w:sz w:val="10"/>
          <w:szCs w:val="27"/>
          <w:u w:val="single"/>
        </w:rPr>
      </w:pPr>
      <w:r>
        <w:rPr>
          <w:shadow/>
          <w:sz w:val="10"/>
          <w:szCs w:val="27"/>
          <w:u w:val="single"/>
        </w:rPr>
      </w:r>
    </w:p>
    <w:p>
      <w:pPr>
        <w:pStyle w:val="Normal"/>
        <w:ind w:start="-360" w:end="-360"/>
        <w:jc w:val="both"/>
        <w:rPr>
          <w:b/>
          <w:bCs/>
          <w:shadow/>
          <w:sz w:val="10"/>
          <w:szCs w:val="27"/>
          <w:u w:val="single"/>
        </w:rPr>
      </w:pPr>
      <w:r>
        <w:rPr>
          <w:b/>
          <w:bCs/>
          <w:shadow/>
          <w:sz w:val="10"/>
          <w:szCs w:val="27"/>
          <w:u w:val="single"/>
        </w:rPr>
      </w:r>
    </w:p>
    <w:p>
      <w:pPr>
        <w:pStyle w:val="Normal"/>
        <w:ind w:firstLine="360" w:start="-360" w:end="-360"/>
        <w:jc w:val="center"/>
        <w:rPr>
          <w:b/>
          <w:bCs/>
          <w:shadow/>
          <w:sz w:val="22"/>
          <w:u w:val="single"/>
        </w:rPr>
      </w:pPr>
      <w:r>
        <w:rPr>
          <w:b/>
          <w:bCs/>
          <w:shadow/>
          <w:sz w:val="22"/>
          <w:u w:val="single"/>
        </w:rPr>
        <w:t>Sabbaticals</w:t>
      </w:r>
    </w:p>
    <w:p>
      <w:pPr>
        <w:pStyle w:val="Normal"/>
        <w:ind w:end="-360"/>
        <w:jc w:val="both"/>
        <w:rPr>
          <w:b/>
          <w:bCs/>
          <w:shadow/>
          <w:sz w:val="12"/>
          <w:u w:val="single"/>
        </w:rPr>
      </w:pPr>
      <w:r>
        <w:rPr>
          <w:b/>
          <w:bCs/>
          <w:shadow/>
          <w:sz w:val="12"/>
          <w:u w:val="single"/>
        </w:rPr>
      </w:r>
    </w:p>
    <w:p>
      <w:pPr>
        <w:pStyle w:val="Normal"/>
        <w:ind w:end="-360"/>
        <w:jc w:val="both"/>
        <w:rPr>
          <w:b/>
          <w:bCs/>
          <w:shadow/>
          <w:u w:val="single"/>
        </w:rPr>
      </w:pPr>
      <w:r>
        <w:rPr>
          <w:b/>
          <w:bCs/>
          <w:shadow/>
          <w:u w:val="single"/>
        </w:rPr>
        <w:t xml:space="preserve">The Care of Talent </w:t>
      </w:r>
    </w:p>
    <w:p>
      <w:pPr>
        <w:pStyle w:val="Normal"/>
        <w:jc w:val="both"/>
        <w:rPr/>
      </w:pPr>
      <w:r>
        <w:rPr>
          <w:rFonts w:cs="Verdana" w:ascii="Verdana" w:hAnsi="Verdana"/>
          <w:sz w:val="18"/>
          <w:szCs w:val="18"/>
        </w:rPr>
        <w:t xml:space="preserve">The degree of burnout in Silicon Valley is the highest it's been in 15 years.  </w:t>
      </w:r>
      <w:r>
        <w:rPr>
          <w:szCs w:val="18"/>
        </w:rPr>
        <w:t>"There will be a rebirth of sabbaticals, and that will be what it takes. The treadmill people have been on for approximately the last five years is unsustainable;</w:t>
      </w:r>
      <w:r>
        <w:rPr>
          <w:rFonts w:cs="Verdana" w:ascii="Verdana" w:hAnsi="Verdana"/>
          <w:sz w:val="18"/>
          <w:szCs w:val="18"/>
        </w:rPr>
        <w:t xml:space="preserve"> if people don't burn out, they just get tired.  We all need to look at ways to have employees recharge their batteries, or we'll become less effective and less fun, and we'll lose our workers.  </w:t>
      </w:r>
      <w:r>
        <w:rPr>
          <w:szCs w:val="18"/>
        </w:rPr>
        <w:t xml:space="preserve">Two months is significant in light of the frenetic lives people have been living.  That will be one aspect of the next phase of the new company: We've got to carve out time for our key employees, or we'll lose them, or they'll become less and less effective."  </w:t>
      </w:r>
      <w:r>
        <w:rPr>
          <w:i/>
          <w:iCs/>
          <w:sz w:val="16"/>
          <w:szCs w:val="18"/>
        </w:rPr>
        <w:t xml:space="preserve">   …Alan Naumann, President and CEO of Calico Commerce Inc.</w:t>
      </w:r>
    </w:p>
    <w:p>
      <w:pPr>
        <w:pStyle w:val="Normal"/>
        <w:jc w:val="both"/>
        <w:rPr>
          <w:i/>
          <w:i/>
          <w:iCs/>
          <w:color w:val="800080"/>
          <w:sz w:val="2"/>
          <w:szCs w:val="18"/>
          <w:u w:val="single"/>
        </w:rPr>
      </w:pPr>
      <w:r>
        <w:rPr>
          <w:i/>
          <w:iCs/>
          <w:color w:val="800080"/>
          <w:sz w:val="2"/>
          <w:szCs w:val="18"/>
          <w:u w:val="single"/>
        </w:rPr>
      </w:r>
    </w:p>
    <w:p>
      <w:pPr>
        <w:pStyle w:val="Normal"/>
        <w:jc w:val="both"/>
        <w:rPr>
          <w:b/>
          <w:bCs/>
          <w:shadow/>
          <w:sz w:val="22"/>
          <w:u w:val="single"/>
        </w:rPr>
      </w:pPr>
      <w:hyperlink r:id="rId17">
        <w:r>
          <w:rPr>
            <w:rStyle w:val="Hyperlink"/>
            <w:color w:val="800080"/>
          </w:rPr>
          <w:t>Link to Articl</w:t>
        </w:r>
      </w:hyperlink>
      <w:r>
        <w:rPr>
          <w:color w:val="800080"/>
          <w:szCs w:val="18"/>
          <w:u w:val="single"/>
        </w:rPr>
        <w:t>e</w:t>
      </w:r>
    </w:p>
    <w:p>
      <w:pPr>
        <w:pStyle w:val="Normal"/>
        <w:ind w:start="-360" w:end="-360"/>
        <w:jc w:val="both"/>
        <w:rPr>
          <w:b/>
          <w:bCs/>
          <w:shadow/>
          <w:sz w:val="22"/>
          <w:u w:val="single"/>
        </w:rPr>
      </w:pPr>
      <w:r>
        <w:rPr>
          <w:b/>
          <w:bCs/>
          <w:shadow/>
          <w:sz w:val="22"/>
          <w:u w:val="single"/>
        </w:rPr>
      </w:r>
    </w:p>
    <w:p>
      <w:pPr>
        <w:pStyle w:val="Heading5"/>
        <w:autoSpaceDE w:val="true"/>
        <w:ind w:hanging="0" w:start="0"/>
        <w:rPr>
          <w:shadow/>
        </w:rPr>
      </w:pPr>
      <w:r>
        <w:rPr>
          <w:shadow/>
        </w:rPr>
        <w:t>Compensation</w:t>
      </w:r>
    </w:p>
    <w:p>
      <w:pPr>
        <w:pStyle w:val="Normal"/>
        <w:jc w:val="both"/>
        <w:rPr>
          <w:b/>
          <w:bCs/>
          <w:shadow/>
          <w:sz w:val="12"/>
        </w:rPr>
      </w:pPr>
      <w:r>
        <w:rPr>
          <w:b/>
          <w:bCs/>
          <w:shadow/>
          <w:sz w:val="12"/>
        </w:rPr>
      </w:r>
    </w:p>
    <w:p>
      <w:pPr>
        <w:pStyle w:val="Normal"/>
        <w:jc w:val="both"/>
        <w:rPr>
          <w:shadow/>
          <w:u w:val="single"/>
        </w:rPr>
      </w:pPr>
      <w:r>
        <w:rPr>
          <w:shadow/>
          <w:u w:val="single"/>
        </w:rPr>
        <w:t>IRS Considers Applying Wage Tax to Many Stock-Purchase Plans</w:t>
      </w:r>
    </w:p>
    <w:p>
      <w:pPr>
        <w:pStyle w:val="Normal"/>
        <w:jc w:val="both"/>
        <w:rPr/>
      </w:pPr>
      <w:r>
        <w:rPr/>
        <w:t xml:space="preserve">The IRS proposes to impose the wage tax on the difference between the stock's market price and the discount plan's purchase price.  Companies that grant the stock-purchase programs also would have to pay the tax.  The IRS would tax stock options granted to corporate executives and others the same way, which would affect up to 4 million more people annually.  </w:t>
      </w:r>
    </w:p>
    <w:p>
      <w:pPr>
        <w:pStyle w:val="Normal"/>
        <w:jc w:val="both"/>
        <w:rPr>
          <w:sz w:val="6"/>
        </w:rPr>
      </w:pPr>
      <w:r>
        <w:rPr>
          <w:sz w:val="6"/>
        </w:rPr>
      </w:r>
    </w:p>
    <w:p>
      <w:pPr>
        <w:pStyle w:val="Normal"/>
        <w:pBdr>
          <w:bottom w:val="double" w:sz="6" w:space="1" w:color="000000"/>
        </w:pBdr>
        <w:jc w:val="both"/>
        <w:rPr/>
      </w:pPr>
      <w:r>
        <w:rPr/>
        <w:t>Right now, employees don't pay taxes on these investments until they sell the stock.  Under this proposed rule, their paychecks would log another deduction to cover this new tax application, and they also would have to pay either a capital-gains tax or income tax upon selling the stock.  The IRS says its proposal is only a clarification of current law, not a new tax.  The rule will take effect in January 2003 unless the IRS withdraws it or Congress blocks it.</w:t>
      </w:r>
    </w:p>
    <w:p>
      <w:pPr>
        <w:pStyle w:val="Normal"/>
        <w:pBdr>
          <w:bottom w:val="double" w:sz="6" w:space="1" w:color="000000"/>
        </w:pBdr>
        <w:jc w:val="both"/>
        <w:rPr>
          <w:b/>
          <w:bCs/>
          <w:shadow/>
          <w:sz w:val="16"/>
          <w:u w:val="single"/>
        </w:rPr>
      </w:pPr>
      <w:r>
        <w:rPr>
          <w:b/>
          <w:bCs/>
          <w:shadow/>
          <w:sz w:val="16"/>
          <w:u w:val="single"/>
        </w:rPr>
      </w:r>
    </w:p>
    <w:p>
      <w:pPr>
        <w:pStyle w:val="Normal"/>
        <w:ind w:hanging="360" w:end="-360"/>
        <w:jc w:val="both"/>
        <w:rPr>
          <w:b/>
          <w:bCs/>
          <w:shadow/>
          <w:sz w:val="14"/>
          <w:u w:val="single"/>
        </w:rPr>
      </w:pPr>
      <w:r>
        <w:rPr>
          <w:b/>
          <w:bCs/>
          <w:shadow/>
          <w:sz w:val="14"/>
          <w:u w:val="single"/>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rPr>
          <w:b/>
          <w:bCs/>
          <w:shadow/>
          <w:sz w:val="4"/>
        </w:rPr>
      </w:pPr>
      <w:r>
        <w:rPr>
          <w:b/>
          <w:bCs/>
          <w:shadow/>
          <w:sz w:val="4"/>
        </w:rPr>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jc w:val="both"/>
        <w:rPr>
          <w:color w:val="000080"/>
          <w:sz w:val="4"/>
        </w:rPr>
      </w:pPr>
      <w:r>
        <w:rPr>
          <w:b/>
          <w:bCs/>
          <w:color w:val="000080"/>
        </w:rPr>
        <w:t xml:space="preserve">A Case of the Mondays:  </w:t>
      </w:r>
      <w:r>
        <w:rPr>
          <w:color w:val="000080"/>
        </w:rPr>
        <w:t>Hours-long meetings, follow-up memos and work leftover from the previous week are why many executives cite Tuesdays -- instead of Mondays -- as their most productive day of the week, according to a survey conducted by Getzler &amp; Co. One-third of respondents cited Tuesday, with 24% citing Thursday, 23% citing Monday and 15% selecting Wednesday. Only 4% of the 230 executives cited Friday as the most productive day, the report said.</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rPr>
          <w:color w:val="000080"/>
          <w:sz w:val="2"/>
        </w:rPr>
      </w:pPr>
      <w:r>
        <w:rPr>
          <w:color w:val="000080"/>
          <w:sz w:val="2"/>
        </w:rPr>
      </w:r>
    </w:p>
    <w:p>
      <w:pPr>
        <w:pStyle w:val="Heading5"/>
        <w:autoSpaceDE w:val="true"/>
        <w:ind w:hanging="0" w:start="0"/>
        <w:rPr>
          <w:shadow/>
          <w:sz w:val="20"/>
        </w:rPr>
      </w:pPr>
      <w:r>
        <w:rPr>
          <w:shadow/>
          <w:sz w:val="20"/>
        </w:rPr>
      </w:r>
    </w:p>
    <w:p>
      <w:pPr>
        <w:pStyle w:val="Heading5"/>
        <w:autoSpaceDE w:val="true"/>
        <w:ind w:hanging="0" w:start="0"/>
        <w:rPr>
          <w:shadow/>
        </w:rPr>
      </w:pPr>
      <w:r>
        <w:rPr>
          <w:shadow/>
        </w:rPr>
        <w:t>Diversity</w:t>
      </w:r>
    </w:p>
    <w:p>
      <w:pPr>
        <w:pStyle w:val="Normal"/>
        <w:jc w:val="both"/>
        <w:rPr>
          <w:shadow/>
        </w:rPr>
      </w:pPr>
      <w:r>
        <w:rPr>
          <w:shadow/>
        </w:rPr>
      </w:r>
    </w:p>
    <w:p>
      <w:pPr>
        <w:pStyle w:val="Heading4"/>
        <w:ind w:hanging="0" w:start="0"/>
        <w:rPr>
          <w:shadow/>
        </w:rPr>
      </w:pPr>
      <w:r>
        <w:rPr>
          <w:shadow/>
        </w:rPr>
        <w:t>At IBM, Different is Better</w:t>
      </w:r>
    </w:p>
    <w:p>
      <w:pPr>
        <w:pStyle w:val="Normal"/>
        <w:jc w:val="both"/>
        <w:rPr/>
      </w:pPr>
      <w:r>
        <w:rPr/>
        <w:t xml:space="preserve">At least twice a month, IBM's vice president of global workforce diversity lays some version of his stump speech on managers who have flown in from across the country.  His lesson?  Accepting, encouraging, and promoting diversity at IBM and beyond is good business.  "We've moved beyond the moral imperative to the strategic imperative," he instructs. "What I want most is what's hardest to get: for business to see the link between diversity and competitiveness. Because if we don't understand that, we're not going to win."  </w:t>
      </w:r>
      <w:r>
        <w:rPr>
          <w:szCs w:val="20"/>
        </w:rPr>
        <w:t>Between January 1996 and December 1999, the number of women executives at IBM worldwide has soared from 185 to 508. By the end of 1999, the number of minority execs working for IBM in the United States hit 270, up from 117 in 1995.</w:t>
      </w:r>
    </w:p>
    <w:p>
      <w:pPr>
        <w:pStyle w:val="Heading4"/>
        <w:ind w:hanging="0" w:start="0"/>
        <w:rPr>
          <w:shadow/>
        </w:rPr>
      </w:pPr>
      <w:r>
        <w:rPr>
          <w:shadow/>
        </w:rPr>
      </w:r>
    </w:p>
    <w:p>
      <w:pPr>
        <w:pStyle w:val="Heading4"/>
        <w:ind w:hanging="0" w:start="0"/>
        <w:rPr>
          <w:shadow/>
        </w:rPr>
      </w:pPr>
      <w:r>
        <w:rPr>
          <w:shadow/>
        </w:rPr>
        <w:t>Diversify Recruitment Advertising</w:t>
      </w:r>
    </w:p>
    <w:p>
      <w:pPr>
        <w:pStyle w:val="Normal"/>
        <w:jc w:val="both"/>
        <w:rPr/>
      </w:pPr>
      <w:r>
        <w:rPr/>
        <w:t xml:space="preserve">Spurred by growing recognition of the value of diversity in the workplace, recruiting ads are getting more diverse.  HR recruiters find that focusing on diversity in recruitment ads helps to attract more employees from diverse arenas, while enhancing programs such as employee referrals by building internal morale and </w:t>
      </w:r>
    </w:p>
    <w:p>
      <w:pPr>
        <w:pStyle w:val="Normal"/>
        <w:jc w:val="both"/>
        <w:rPr/>
      </w:pPr>
      <w:r>
        <w:rPr/>
        <w:t xml:space="preserve">promoting the company culture.  “All across the United States, market conditions are causing big businesses to rethink diversity recruitment and retention practices as factors critical to success,” according to the most recent Society for Human Resource Management (SHRM) survey of recruiting and retention methods used by </w:t>
      </w:r>
      <w:r>
        <w:rPr>
          <w:i/>
          <w:iCs/>
        </w:rPr>
        <w:t>Fortune</w:t>
      </w:r>
      <w:r>
        <w:rPr/>
        <w:t xml:space="preserve"> 500 companies.  </w:t>
      </w:r>
    </w:p>
    <w:p>
      <w:pPr>
        <w:pStyle w:val="Normal"/>
        <w:jc w:val="both"/>
        <w:rPr>
          <w:sz w:val="14"/>
        </w:rPr>
      </w:pPr>
      <w:r>
        <w:rPr>
          <w:sz w:val="14"/>
        </w:rPr>
      </w:r>
    </w:p>
    <w:p>
      <w:pPr>
        <w:pStyle w:val="Normal"/>
        <w:jc w:val="both"/>
        <w:rPr/>
      </w:pPr>
      <w:r>
        <w:rPr/>
        <w:t>Studies have shown that minority job seekers seem to look for companies with a proven diversity record.  A recent WetFeet.com study found that 16% of respondents looked at a diverse workforce as a key indicator of a company’s commitment to diversity, while one-third of respondents indicated that they eliminated a company from employment consideration because of lack of gender or ethnic diversity.</w:t>
      </w:r>
    </w:p>
    <w:p>
      <w:pPr>
        <w:pStyle w:val="Header"/>
        <w:tabs>
          <w:tab w:val="clear" w:pos="4320"/>
          <w:tab w:val="clear" w:pos="8640"/>
          <w:tab w:val="left" w:pos="2415" w:leader="none"/>
        </w:tabs>
        <w:jc w:val="both"/>
        <w:rPr>
          <w:shadow/>
        </w:rPr>
      </w:pPr>
      <w:r>
        <w:rPr>
          <w:shadow/>
        </w:rPr>
        <w:tab/>
      </w:r>
    </w:p>
    <w:p>
      <w:pPr>
        <w:pStyle w:val="Heading4"/>
        <w:ind w:hanging="0" w:start="0"/>
        <w:rPr>
          <w:shadow/>
        </w:rPr>
      </w:pPr>
      <w:r>
        <w:rPr>
          <w:shadow/>
        </w:rPr>
        <w:t>Paying a Price for Diversity</w:t>
      </w:r>
    </w:p>
    <w:p>
      <w:pPr>
        <w:pStyle w:val="Normal"/>
        <w:jc w:val="both"/>
        <w:rPr/>
      </w:pPr>
      <w:r>
        <w:rPr/>
        <w:t>Some executive recruiters are exploring the idea of charging corporate clients an extra fee for placing a minority or female candidate.  Two years ago, a provider of facility-management services offered Compass Group Ltd. an additional 5% for every diverse candidate recruited and placed by the Birmingham, Michigan search firm.  Compass Group's standard fee is a third of a prospect's estimated first-year cash compensation.  "A lot of companies say they're committed to enlarging the diversity in their management group.  It says a lot if someone is willing to pay a premium for a diverse candidate."</w:t>
      </w:r>
    </w:p>
    <w:p>
      <w:pPr>
        <w:pStyle w:val="Normal"/>
        <w:jc w:val="both"/>
        <w:rPr>
          <w:color w:val="800080"/>
          <w:sz w:val="2"/>
          <w:u w:val="single"/>
        </w:rPr>
      </w:pPr>
      <w:r>
        <w:rPr>
          <w:color w:val="800080"/>
          <w:sz w:val="2"/>
          <w:u w:val="single"/>
        </w:rPr>
      </w:r>
    </w:p>
    <w:p>
      <w:pPr>
        <w:pStyle w:val="Normal"/>
        <w:jc w:val="both"/>
        <w:rPr/>
      </w:pPr>
      <w:hyperlink r:id="rId18">
        <w:r>
          <w:rPr>
            <w:rStyle w:val="Hyperlink"/>
            <w:color w:val="800080"/>
          </w:rPr>
          <w:t>Link to Articl</w:t>
        </w:r>
      </w:hyperlink>
      <w:r>
        <w:rPr>
          <w:color w:val="800080"/>
          <w:u w:val="single"/>
        </w:rPr>
        <w:t>e</w:t>
      </w:r>
    </w:p>
    <w:p>
      <w:pPr>
        <w:pStyle w:val="Normal"/>
        <w:jc w:val="both"/>
        <w:rPr>
          <w:color w:val="800080"/>
          <w:u w:val="single"/>
        </w:rPr>
      </w:pPr>
      <w:r>
        <w:rPr>
          <w:color w:val="800080"/>
          <w:u w:val="single"/>
        </w:rPr>
      </w:r>
    </w:p>
    <w:p>
      <w:pPr>
        <w:pStyle w:val="Normal"/>
        <w:jc w:val="center"/>
        <w:rPr>
          <w:b/>
          <w:bCs/>
          <w:shadow/>
        </w:rPr>
      </w:pPr>
      <w:r>
        <w:rPr>
          <w:b/>
          <w:bCs/>
          <w:shadow/>
        </w:rPr>
        <w:t>The top five ways diverse candidates found their current jobs:</w:t>
      </w:r>
    </w:p>
    <w:p>
      <w:pPr>
        <w:pStyle w:val="Normal"/>
        <w:jc w:val="both"/>
        <w:rPr>
          <w:b/>
          <w:bCs/>
          <w:shadow/>
          <w:sz w:val="6"/>
        </w:rPr>
      </w:pPr>
      <w:r>
        <w:rPr>
          <w:b/>
          <w:bCs/>
          <w:shadow/>
          <w:sz w:val="6"/>
        </w:rPr>
      </w:r>
    </w:p>
    <w:p>
      <w:pPr>
        <w:pStyle w:val="Normal"/>
        <w:ind w:firstLine="720" w:start="1440" w:end="0"/>
        <w:jc w:val="both"/>
        <w:rPr>
          <w:b/>
          <w:bCs/>
        </w:rPr>
      </w:pPr>
      <w:r>
        <w:rPr>
          <w:b/>
          <w:bCs/>
        </w:rPr>
        <w:t>Referrals</w:t>
        <w:tab/>
        <w:tab/>
        <w:tab/>
        <w:tab/>
        <w:tab/>
        <w:t>25%</w:t>
      </w:r>
    </w:p>
    <w:p>
      <w:pPr>
        <w:pStyle w:val="Normal"/>
        <w:ind w:firstLine="720" w:start="1440" w:end="0"/>
        <w:jc w:val="both"/>
        <w:rPr>
          <w:b/>
          <w:bCs/>
        </w:rPr>
      </w:pPr>
      <w:r>
        <w:rPr>
          <w:b/>
          <w:bCs/>
        </w:rPr>
        <w:t>General job-listing sites</w:t>
        <w:tab/>
        <w:tab/>
        <w:tab/>
        <w:t>17%</w:t>
      </w:r>
    </w:p>
    <w:p>
      <w:pPr>
        <w:pStyle w:val="Normal"/>
        <w:ind w:firstLine="720" w:start="1440" w:end="0"/>
        <w:jc w:val="both"/>
        <w:rPr>
          <w:b/>
          <w:bCs/>
        </w:rPr>
      </w:pPr>
      <w:r>
        <w:rPr>
          <w:b/>
          <w:bCs/>
        </w:rPr>
        <w:t>Headhunters/agencies</w:t>
        <w:tab/>
        <w:tab/>
        <w:tab/>
        <w:t>17%</w:t>
      </w:r>
    </w:p>
    <w:p>
      <w:pPr>
        <w:pStyle w:val="Normal"/>
        <w:ind w:firstLine="720" w:start="1440" w:end="0"/>
        <w:jc w:val="both"/>
        <w:rPr>
          <w:b/>
          <w:bCs/>
        </w:rPr>
      </w:pPr>
      <w:r>
        <w:rPr>
          <w:b/>
          <w:bCs/>
        </w:rPr>
        <w:t>Classified ads</w:t>
        <w:tab/>
        <w:tab/>
        <w:tab/>
        <w:tab/>
        <w:tab/>
        <w:t>15%</w:t>
      </w:r>
    </w:p>
    <w:p>
      <w:pPr>
        <w:pStyle w:val="Normal"/>
        <w:ind w:firstLine="720" w:start="1440" w:end="0"/>
        <w:jc w:val="both"/>
        <w:rPr>
          <w:shadow/>
        </w:rPr>
      </w:pPr>
      <w:r>
        <w:rPr>
          <w:b/>
          <w:bCs/>
        </w:rPr>
        <w:t>Corporate web sites</w:t>
        <w:tab/>
        <w:tab/>
        <w:tab/>
        <w:tab/>
        <w:t>6%</w:t>
      </w:r>
      <w:r>
        <w:rPr/>
        <w:tab/>
      </w:r>
    </w:p>
    <w:p>
      <w:pPr>
        <w:pStyle w:val="Normal"/>
        <w:ind w:start="-360" w:end="-360"/>
        <w:jc w:val="both"/>
        <w:rPr>
          <w:i/>
          <w:i/>
          <w:iCs/>
          <w:shadow/>
          <w:sz w:val="16"/>
        </w:rPr>
      </w:pPr>
      <w:r>
        <w:rPr>
          <w:i/>
          <w:iCs/>
          <w:shadow/>
          <w:sz w:val="16"/>
        </w:rPr>
      </w:r>
    </w:p>
    <w:p>
      <w:pPr>
        <w:pStyle w:val="Normal"/>
        <w:ind w:start="-360" w:end="-360"/>
        <w:jc w:val="both"/>
        <w:rPr>
          <w:i/>
          <w:i/>
          <w:iCs/>
          <w:sz w:val="16"/>
        </w:rPr>
      </w:pPr>
      <w:r>
        <w:rPr>
          <w:rFonts w:eastAsia="Tahoma"/>
          <w:i/>
          <w:iCs/>
          <w:sz w:val="16"/>
        </w:rPr>
        <w:t xml:space="preserve">                                          </w:t>
      </w:r>
      <w:r>
        <w:rPr>
          <w:i/>
          <w:iCs/>
          <w:sz w:val="16"/>
        </w:rPr>
        <w:t>…</w:t>
      </w:r>
      <w:r>
        <w:rPr>
          <w:i/>
          <w:iCs/>
          <w:sz w:val="16"/>
        </w:rPr>
        <w:t>Source:  survey of 737 women and minority job seekers by Wetfeet Inc., San Francisco</w:t>
      </w:r>
    </w:p>
    <w:p>
      <w:pPr>
        <w:pStyle w:val="Heading4"/>
        <w:ind w:hanging="0" w:start="0"/>
        <w:rPr>
          <w:i/>
          <w:i/>
          <w:iCs/>
          <w:shadow/>
          <w:sz w:val="16"/>
        </w:rPr>
      </w:pPr>
      <w:r>
        <w:rPr>
          <w:i/>
          <w:iCs/>
          <w:shadow/>
          <w:sz w:val="16"/>
        </w:rPr>
      </w:r>
    </w:p>
    <w:p>
      <w:pPr>
        <w:pStyle w:val="Heading4"/>
        <w:ind w:hanging="0" w:start="0"/>
        <w:rPr>
          <w:shadow/>
        </w:rPr>
      </w:pPr>
      <w:r>
        <w:rPr>
          <w:shadow/>
        </w:rPr>
      </w:r>
    </w:p>
    <w:p>
      <w:pPr>
        <w:pStyle w:val="Heading4"/>
        <w:ind w:hanging="0" w:start="0"/>
        <w:rPr>
          <w:shadow/>
        </w:rPr>
      </w:pPr>
      <w:r>
        <w:rPr>
          <w:shadow/>
        </w:rPr>
        <w:t xml:space="preserve">Former HR Veep Becomes Xerox CEO </w:t>
      </w:r>
    </w:p>
    <w:p>
      <w:pPr>
        <w:pStyle w:val="BodyText2"/>
        <w:autoSpaceDE w:val="true"/>
        <w:rPr/>
      </w:pPr>
      <w:r>
        <w:rPr/>
        <w:t xml:space="preserve">A former vice-president for human resources at the Xerox Corporation has been named CEO of the copying giant.  Anne Mulcahy's promotion is cause cheering among women and HR pros alike, since she becomes only the fifth woman to reach the top position in a Fortune 500 company.  </w:t>
      </w:r>
    </w:p>
    <w:p>
      <w:pPr>
        <w:pStyle w:val="BodyText2"/>
        <w:autoSpaceDE w:val="true"/>
        <w:rPr>
          <w:sz w:val="10"/>
        </w:rPr>
      </w:pPr>
      <w:r>
        <w:rPr>
          <w:sz w:val="10"/>
        </w:rPr>
      </w:r>
    </w:p>
    <w:p>
      <w:pPr>
        <w:pStyle w:val="BodyText2"/>
        <w:autoSpaceDE w:val="true"/>
        <w:rPr/>
      </w:pPr>
      <w:r>
        <w:rPr/>
        <w:t>She spent 25 years rising through the ranks of Xerox, serving from 1992 to 1995 as head of HR. In that job, she was responsible for compensation, benefits, human resource strategy, labor relations, and employee training.</w:t>
      </w:r>
    </w:p>
    <w:p>
      <w:pPr>
        <w:pStyle w:val="Normal"/>
        <w:jc w:val="both"/>
        <w:rPr>
          <w:u w:val="single"/>
        </w:rPr>
      </w:pPr>
      <w:r>
        <w:rPr>
          <w:u w:val="single"/>
        </w:rPr>
      </w:r>
    </w:p>
    <w:p>
      <w:pPr>
        <w:pStyle w:val="Normal"/>
        <w:jc w:val="both"/>
        <w:rPr>
          <w:color w:val="800080"/>
          <w:u w:val="single"/>
        </w:rPr>
      </w:pPr>
      <w:r>
        <w:rPr>
          <w:color w:val="800080"/>
          <w:u w:val="single"/>
        </w:rPr>
      </w:r>
    </w:p>
    <w:p>
      <w:pPr>
        <w:pStyle w:val="Normal"/>
        <w:jc w:val="both"/>
        <w:rPr>
          <w:color w:val="800080"/>
          <w:u w:val="single"/>
        </w:rPr>
      </w:pPr>
      <w:r>
        <w:rPr>
          <w:color w:val="800080"/>
          <w:u w:val="single"/>
        </w:rPr>
      </w:r>
    </w:p>
    <w:p>
      <w:pPr>
        <w:pStyle w:val="Normal"/>
        <w:ind w:start="-360" w:end="-360"/>
        <w:jc w:val="center"/>
        <w:rPr>
          <w:b/>
          <w:bCs/>
          <w:shadow/>
          <w:sz w:val="22"/>
          <w:u w:val="single"/>
        </w:rPr>
      </w:pPr>
      <w:r>
        <w:rPr>
          <w:b/>
          <w:bCs/>
          <w:shadow/>
          <w:sz w:val="22"/>
          <w:u w:val="single"/>
        </w:rPr>
        <w:t>Best Practices</w:t>
      </w:r>
    </w:p>
    <w:p>
      <w:pPr>
        <w:pStyle w:val="Normal"/>
        <w:ind w:end="-360"/>
        <w:jc w:val="both"/>
        <w:rPr>
          <w:b/>
          <w:bCs/>
          <w:shadow/>
          <w:sz w:val="22"/>
          <w:u w:val="single"/>
        </w:rPr>
      </w:pPr>
      <w:r>
        <w:rPr>
          <w:b/>
          <w:bCs/>
          <w:shadow/>
          <w:sz w:val="22"/>
          <w:u w:val="single"/>
        </w:rPr>
      </w:r>
    </w:p>
    <w:p>
      <w:pPr>
        <w:pStyle w:val="Normal"/>
        <w:ind w:end="-360"/>
        <w:jc w:val="both"/>
        <w:rPr>
          <w:b/>
          <w:bCs/>
          <w:shadow/>
          <w:u w:val="single"/>
        </w:rPr>
      </w:pPr>
      <w:r>
        <w:rPr>
          <w:b/>
          <w:bCs/>
          <w:shadow/>
          <w:u w:val="single"/>
        </w:rPr>
        <w:t>Reverse Mentoring</w:t>
      </w:r>
    </w:p>
    <w:p>
      <w:pPr>
        <w:pStyle w:val="Normal"/>
        <w:ind w:end="-360"/>
        <w:jc w:val="both"/>
        <w:rPr/>
      </w:pPr>
      <w:r>
        <w:rPr/>
        <w:t xml:space="preserve">In 1999, GM launched GM Executive Support Services, a reverse mentoring program, that paired the company’s top 44 executives with a coach that would teach them the ins and outs of basic computer use, e-mail, and Palm Pilot technology.  The program has changed the way the executives interact with each other and their staff.  </w:t>
      </w:r>
    </w:p>
    <w:p>
      <w:pPr>
        <w:pStyle w:val="Normal"/>
        <w:ind w:end="-360"/>
        <w:jc w:val="both"/>
        <w:rPr>
          <w:sz w:val="10"/>
        </w:rPr>
      </w:pPr>
      <w:r>
        <w:rPr>
          <w:sz w:val="10"/>
        </w:rPr>
      </w:r>
    </w:p>
    <w:p>
      <w:pPr>
        <w:pStyle w:val="Normal"/>
        <w:ind w:end="-360"/>
        <w:jc w:val="both"/>
        <w:rPr/>
      </w:pPr>
      <w:r>
        <w:rPr/>
        <w:t xml:space="preserve">In addition, all of the executives received extensive coaching on how to use GM’s Automotive Strategy Board team room, a collaborative website developed for the company’s highest ranking board outside of the board of directors.  The team room allows them to view presentations ahead of time, make comments, or vote on whether they want to hear more about the project at the next monthly meeting.  Instead of spending 2 or 3 days listening to proposals and then voting, the executives can focus on the strategic discussion and the meetings have been cut in half.  </w:t>
      </w:r>
    </w:p>
    <w:p>
      <w:pPr>
        <w:pStyle w:val="Normal"/>
        <w:ind w:end="-360"/>
        <w:jc w:val="both"/>
        <w:rPr>
          <w:sz w:val="8"/>
        </w:rPr>
      </w:pPr>
      <w:r>
        <w:rPr>
          <w:sz w:val="8"/>
        </w:rPr>
      </w:r>
    </w:p>
    <w:p>
      <w:pPr>
        <w:pStyle w:val="Normal"/>
        <w:ind w:end="-360"/>
        <w:jc w:val="both"/>
        <w:rPr/>
      </w:pPr>
      <w:r>
        <w:rPr/>
        <w:t>Other companies that have implemented reverse mentoring programs include – Best Buy, Philip Morris, GE, Procter &amp; Gamble, and Siemens.</w:t>
      </w:r>
    </w:p>
    <w:p>
      <w:pPr>
        <w:pStyle w:val="Normal"/>
        <w:ind w:firstLine="360" w:start="-360" w:end="-360"/>
        <w:jc w:val="both"/>
        <w:rPr>
          <w:shadow/>
          <w:szCs w:val="27"/>
          <w:u w:val="single"/>
        </w:rPr>
      </w:pPr>
      <w:r>
        <w:rPr>
          <w:shadow/>
          <w:szCs w:val="27"/>
          <w:u w:val="single"/>
        </w:rPr>
      </w:r>
    </w:p>
    <w:p>
      <w:pPr>
        <w:pStyle w:val="Normal"/>
        <w:ind w:firstLine="360" w:start="-360" w:end="-360"/>
        <w:jc w:val="center"/>
        <w:rPr>
          <w:b/>
          <w:bCs/>
          <w:shadow/>
          <w:sz w:val="22"/>
          <w:szCs w:val="27"/>
          <w:u w:val="single"/>
        </w:rPr>
      </w:pPr>
      <w:r>
        <w:rPr>
          <w:b/>
          <w:bCs/>
          <w:shadow/>
          <w:sz w:val="22"/>
          <w:szCs w:val="27"/>
          <w:u w:val="single"/>
        </w:rPr>
        <w:t>Workforce News</w:t>
      </w:r>
    </w:p>
    <w:p>
      <w:pPr>
        <w:pStyle w:val="Normal"/>
        <w:ind w:firstLine="360" w:start="-360" w:end="-360"/>
        <w:jc w:val="both"/>
        <w:rPr>
          <w:b/>
          <w:bCs/>
          <w:shadow/>
          <w:sz w:val="22"/>
          <w:szCs w:val="27"/>
          <w:u w:val="single"/>
        </w:rPr>
      </w:pPr>
      <w:r>
        <w:rPr>
          <w:b/>
          <w:bCs/>
          <w:shadow/>
          <w:sz w:val="22"/>
          <w:szCs w:val="27"/>
          <w:u w:val="single"/>
        </w:rPr>
      </w:r>
    </w:p>
    <w:p>
      <w:pPr>
        <w:pStyle w:val="Normal"/>
        <w:ind w:firstLine="360" w:start="-360" w:end="-360"/>
        <w:jc w:val="both"/>
        <w:rPr>
          <w:b/>
          <w:bCs/>
          <w:shadow/>
          <w:szCs w:val="27"/>
          <w:u w:val="single"/>
        </w:rPr>
      </w:pPr>
      <w:r>
        <w:rPr>
          <w:b/>
          <w:bCs/>
          <w:shadow/>
          <w:szCs w:val="27"/>
          <w:u w:val="single"/>
        </w:rPr>
        <w:t xml:space="preserve">Demand for Executives Drops </w:t>
      </w:r>
    </w:p>
    <w:p>
      <w:pPr>
        <w:pStyle w:val="Normal"/>
        <w:ind w:end="-360"/>
        <w:jc w:val="both"/>
        <w:rPr>
          <w:szCs w:val="27"/>
        </w:rPr>
      </w:pPr>
      <w:r>
        <w:rPr>
          <w:szCs w:val="27"/>
        </w:rPr>
        <w:t xml:space="preserve">ExecuNet, an online career center for executives, says demand for executive talent has dropped by 20 percent in the second quarter of this year, compared to the same period last year.  The service says the findings come from its Executive Talent Demand Index, which helps executives, recruiters, and corporations analyze hiring trends according to industry, function, region, and compensation. </w:t>
      </w:r>
    </w:p>
    <w:p>
      <w:pPr>
        <w:pStyle w:val="Normal"/>
        <w:ind w:end="-360"/>
        <w:jc w:val="both"/>
        <w:rPr>
          <w:sz w:val="12"/>
          <w:szCs w:val="27"/>
        </w:rPr>
      </w:pPr>
      <w:r>
        <w:rPr>
          <w:sz w:val="12"/>
          <w:szCs w:val="27"/>
        </w:rPr>
      </w:r>
    </w:p>
    <w:p>
      <w:pPr>
        <w:pStyle w:val="Normal"/>
        <w:ind w:end="-360"/>
        <w:jc w:val="both"/>
        <w:rPr>
          <w:szCs w:val="27"/>
        </w:rPr>
      </w:pPr>
      <w:r>
        <w:rPr>
          <w:szCs w:val="27"/>
        </w:rPr>
        <w:t xml:space="preserve">In 2000, demand for executives increased 39 percent in the first quarter, 38 percent in the second quarter, 34 percent in the third quarter, and 37 percent in the fourth quarter, when compared to 1999. In the first quarter of 2001, executive demand increased 1 percent. </w:t>
      </w:r>
    </w:p>
    <w:p>
      <w:pPr>
        <w:pStyle w:val="Normal"/>
        <w:ind w:end="-360"/>
        <w:jc w:val="both"/>
        <w:rPr>
          <w:sz w:val="12"/>
          <w:szCs w:val="27"/>
        </w:rPr>
      </w:pPr>
      <w:r>
        <w:rPr>
          <w:sz w:val="12"/>
          <w:szCs w:val="27"/>
        </w:rPr>
      </w:r>
    </w:p>
    <w:p>
      <w:pPr>
        <w:pStyle w:val="Normal"/>
        <w:ind w:end="-360"/>
        <w:jc w:val="both"/>
        <w:rPr>
          <w:szCs w:val="27"/>
        </w:rPr>
      </w:pPr>
      <w:r>
        <w:rPr>
          <w:szCs w:val="27"/>
        </w:rPr>
        <w:t xml:space="preserve">Geographically, the West Coast did not prove itself to be the land of opportunity during the second quarter of 2001, as demand for executives there fell 30 percent. Other regions with significant drops include: the South/Southeast (-25 percent); the Southwest (-23 percent); the Mid-Atlantic states (-21 percent); New England and the other Northeast states (-20 percent); and the Midwest (-20 percent).  </w:t>
      </w:r>
    </w:p>
    <w:p>
      <w:pPr>
        <w:pStyle w:val="Normal"/>
        <w:ind w:end="-360"/>
        <w:jc w:val="both"/>
        <w:rPr>
          <w:sz w:val="12"/>
          <w:szCs w:val="27"/>
        </w:rPr>
      </w:pPr>
      <w:r>
        <w:rPr>
          <w:sz w:val="12"/>
          <w:szCs w:val="27"/>
        </w:rPr>
      </w:r>
    </w:p>
    <w:p>
      <w:pPr>
        <w:pStyle w:val="Normal"/>
        <w:ind w:end="-360"/>
        <w:jc w:val="both"/>
        <w:rPr>
          <w:szCs w:val="27"/>
        </w:rPr>
      </w:pPr>
      <w:r>
        <w:rPr>
          <w:szCs w:val="27"/>
        </w:rPr>
        <w:t xml:space="preserve">Demand for senior executives in the New York Metro region fell 8 percent, while in the Mountains States, executive demand climbed 2 percent.  Internationally, demand for top talent dropped 20 percent. </w:t>
      </w:r>
    </w:p>
    <w:p>
      <w:pPr>
        <w:pStyle w:val="Normal"/>
        <w:ind w:end="-360"/>
        <w:jc w:val="both"/>
        <w:rPr>
          <w:sz w:val="12"/>
          <w:szCs w:val="27"/>
        </w:rPr>
      </w:pPr>
      <w:r>
        <w:rPr>
          <w:sz w:val="12"/>
          <w:szCs w:val="27"/>
        </w:rPr>
      </w:r>
    </w:p>
    <w:p>
      <w:pPr>
        <w:pStyle w:val="Normal"/>
        <w:ind w:end="-360"/>
        <w:jc w:val="both"/>
        <w:rPr>
          <w:szCs w:val="27"/>
        </w:rPr>
      </w:pPr>
      <w:r>
        <w:rPr>
          <w:szCs w:val="27"/>
        </w:rPr>
        <w:t xml:space="preserve">Within all industries, demand for MIS/IT professionals decreased most significantly, dropping 48 percent during the quarter. Other professions with significant decreases in executive demand include human resources (-32 percent); sales and marketing (-26 percent); consulting (-23 percent); general management (-18 percent); and finance (-13 percent). </w:t>
      </w:r>
    </w:p>
    <w:p>
      <w:pPr>
        <w:pStyle w:val="Normal"/>
        <w:ind w:end="-360"/>
        <w:jc w:val="both"/>
        <w:rPr>
          <w:sz w:val="12"/>
          <w:szCs w:val="27"/>
        </w:rPr>
      </w:pPr>
      <w:r>
        <w:rPr>
          <w:sz w:val="12"/>
          <w:szCs w:val="27"/>
        </w:rPr>
      </w:r>
    </w:p>
    <w:p>
      <w:pPr>
        <w:pStyle w:val="Normal"/>
        <w:ind w:end="-360"/>
        <w:jc w:val="both"/>
        <w:rPr>
          <w:szCs w:val="27"/>
        </w:rPr>
      </w:pPr>
      <w:r>
        <w:rPr>
          <w:szCs w:val="27"/>
        </w:rPr>
        <w:t xml:space="preserve">Functions posting increases in demand include operations management, climbing 8 percent, and legal/regulatory affairs, rising 17 percent during the second quarter. </w:t>
      </w:r>
    </w:p>
    <w:p>
      <w:pPr>
        <w:pStyle w:val="Normal"/>
        <w:ind w:end="-360"/>
        <w:jc w:val="both"/>
        <w:rPr>
          <w:sz w:val="12"/>
          <w:szCs w:val="27"/>
        </w:rPr>
      </w:pPr>
      <w:r>
        <w:rPr>
          <w:sz w:val="12"/>
          <w:szCs w:val="27"/>
        </w:rPr>
      </w:r>
    </w:p>
    <w:p>
      <w:pPr>
        <w:pStyle w:val="Normal"/>
        <w:ind w:end="-360"/>
        <w:jc w:val="both"/>
        <w:rPr>
          <w:szCs w:val="27"/>
        </w:rPr>
      </w:pPr>
      <w:r>
        <w:rPr>
          <w:szCs w:val="27"/>
        </w:rPr>
        <w:t>For professionals earning $100,000 to $149,000, executive demand fell 23 percent.  Demand for executives earning $150,000 to $199,000, dropped 22 percent, and for those with salaries between $200,000 and $250,000, demand plunged 16 percent. For leaders earning more than $250,000, executive demand decreased 13 percent.</w:t>
      </w:r>
    </w:p>
    <w:p>
      <w:pPr>
        <w:pStyle w:val="Normal"/>
        <w:ind w:firstLine="360" w:start="-360" w:end="-360"/>
        <w:jc w:val="both"/>
        <w:rPr>
          <w:rFonts w:eastAsia="Tahoma"/>
          <w:sz w:val="24"/>
        </w:rPr>
      </w:pPr>
      <w:r>
        <w:rPr>
          <w:rFonts w:eastAsia="Tahoma"/>
          <w:sz w:val="24"/>
        </w:rPr>
        <w:t xml:space="preserve">     </w:t>
      </w:r>
    </w:p>
    <w:p>
      <w:pPr>
        <w:pStyle w:val="Normal"/>
        <w:ind w:firstLine="360" w:start="-360" w:end="-360"/>
        <w:jc w:val="both"/>
        <w:rPr>
          <w:sz w:val="24"/>
        </w:rPr>
      </w:pPr>
      <w:r>
        <w:rPr>
          <w:sz w:val="24"/>
        </w:rPr>
      </w:r>
    </w:p>
    <w:p>
      <w:pPr>
        <w:pStyle w:val="Normal"/>
        <w:ind w:firstLine="360" w:start="-360" w:end="-360"/>
        <w:jc w:val="both"/>
        <w:rPr>
          <w:b/>
          <w:bCs/>
          <w:shadow/>
          <w:u w:val="single"/>
        </w:rPr>
      </w:pPr>
      <w:r>
        <w:rPr>
          <w:b/>
          <w:bCs/>
          <w:shadow/>
          <w:u w:val="single"/>
        </w:rPr>
        <w:t>Repositioning Retirement</w:t>
      </w:r>
    </w:p>
    <w:p>
      <w:pPr>
        <w:pStyle w:val="Normal"/>
        <w:jc w:val="both"/>
        <w:rPr>
          <w:szCs w:val="20"/>
        </w:rPr>
      </w:pPr>
      <w:r>
        <w:rPr>
          <w:szCs w:val="20"/>
        </w:rPr>
        <w:t>The median age of retirement has dropped in the United States in the past half of the century, according to information from the Bureau of Labor Statistics.  In the period of 1950-1955, the median retirement age was 66.9 for men and 67.7 for women.  By the period 1990-1995, it was 62.7 for men and 62.6 for women. The median retirement age is projected to be 61.7 for men and 61.2 for women during 2000-2005.</w:t>
      </w:r>
    </w:p>
    <w:p>
      <w:pPr>
        <w:pStyle w:val="Normal"/>
        <w:jc w:val="both"/>
        <w:rPr>
          <w:shadow/>
          <w:szCs w:val="20"/>
          <w:u w:val="single"/>
        </w:rPr>
      </w:pPr>
      <w:r>
        <w:rPr>
          <w:shadow/>
          <w:szCs w:val="20"/>
          <w:u w:val="single"/>
        </w:rPr>
      </w:r>
    </w:p>
    <w:p>
      <w:pPr>
        <w:pStyle w:val="NormalWeb"/>
        <w:jc w:val="both"/>
        <w:rPr>
          <w:rFonts w:ascii="Tahoma" w:hAnsi="Tahoma" w:cs="Tahoma"/>
        </w:rPr>
      </w:pPr>
      <w:r>
        <w:rPr>
          <w:rFonts w:eastAsia="Tahoma" w:cs="Tahoma" w:ascii="Tahoma" w:hAnsi="Tahoma"/>
          <w:color w:val="000000"/>
          <w:sz w:val="20"/>
        </w:rPr>
        <w:t xml:space="preserve">      </w:t>
      </w:r>
    </w:p>
    <w:p>
      <w:pPr>
        <w:pStyle w:val="Normal"/>
        <w:ind w:end="-360"/>
        <w:jc w:val="center"/>
        <w:rPr>
          <w:rFonts w:ascii="Tahoma" w:hAnsi="Tahoma" w:cs="Tahoma"/>
          <w:b/>
          <w:bCs/>
          <w:shadow/>
          <w:u w:val="single"/>
        </w:rPr>
      </w:pPr>
      <w:r>
        <w:rPr>
          <w:rFonts w:cs="Tahoma"/>
          <w:b/>
          <w:bCs/>
          <w:shadow/>
          <w:u w:val="single"/>
        </w:rPr>
      </w:r>
    </w:p>
    <w:p>
      <w:pPr>
        <w:pStyle w:val="Normal"/>
        <w:ind w:end="-360"/>
        <w:jc w:val="center"/>
        <w:rPr>
          <w:b/>
          <w:bCs/>
          <w:shadow/>
          <w:sz w:val="22"/>
          <w:u w:val="single"/>
        </w:rPr>
      </w:pPr>
      <w:r>
        <w:rPr>
          <w:b/>
          <w:bCs/>
          <w:shadow/>
          <w:sz w:val="22"/>
          <w:u w:val="single"/>
        </w:rPr>
        <w:t>Telework</w:t>
      </w:r>
    </w:p>
    <w:p>
      <w:pPr>
        <w:pStyle w:val="Normal"/>
        <w:ind w:end="-360"/>
        <w:jc w:val="center"/>
        <w:rPr>
          <w:b/>
          <w:bCs/>
          <w:shadow/>
          <w:sz w:val="22"/>
          <w:u w:val="single"/>
        </w:rPr>
      </w:pPr>
      <w:r>
        <w:rPr>
          <w:b/>
          <w:bCs/>
          <w:shadow/>
          <w:sz w:val="22"/>
          <w:u w:val="single"/>
        </w:rPr>
      </w:r>
    </w:p>
    <w:p>
      <w:pPr>
        <w:pStyle w:val="Normal"/>
        <w:ind w:end="-360"/>
        <w:jc w:val="both"/>
        <w:rPr>
          <w:b/>
          <w:bCs/>
          <w:shadow/>
          <w:u w:val="single"/>
        </w:rPr>
      </w:pPr>
      <w:r>
        <w:rPr>
          <w:b/>
          <w:bCs/>
          <w:shadow/>
          <w:u w:val="single"/>
        </w:rPr>
        <w:t>Federal Report Outlines Barriers, Solutions for Remote Workers</w:t>
      </w:r>
    </w:p>
    <w:p>
      <w:pPr>
        <w:pStyle w:val="Normal"/>
        <w:ind w:end="-360"/>
        <w:jc w:val="both"/>
        <w:rPr/>
      </w:pPr>
      <w:r>
        <w:rPr/>
        <w:t>Between a negative USA Today article on telecommuting and the recently released U.S. General Accounting Office (GAO) report, "Telecommuting: Overview of Potential Barriers Facing Employers," employers can be excused for thinking that telework is too much hassle with too little return on investment. But look closer at the government report, and it's obvious that most of the "barriers" can be conquered.</w:t>
      </w:r>
    </w:p>
    <w:p>
      <w:pPr>
        <w:pStyle w:val="Normal"/>
        <w:ind w:end="-360"/>
        <w:jc w:val="both"/>
        <w:rPr>
          <w:sz w:val="8"/>
        </w:rPr>
      </w:pPr>
      <w:r>
        <w:rPr>
          <w:sz w:val="8"/>
        </w:rPr>
      </w:r>
    </w:p>
    <w:p>
      <w:pPr>
        <w:pStyle w:val="Normal"/>
        <w:ind w:end="-360"/>
        <w:jc w:val="both"/>
        <w:rPr/>
      </w:pPr>
      <w:r>
        <w:rPr/>
        <w:t>Currently, about 16.5 million employees report that they telecommute at least once a month, and 9.3 million say they work from home at least once a week.  Following is a link to the GAO report, which includes coverage of tax and labor issues:</w:t>
      </w:r>
    </w:p>
    <w:p>
      <w:pPr>
        <w:pStyle w:val="Normal"/>
        <w:ind w:end="-360"/>
        <w:jc w:val="both"/>
        <w:rPr>
          <w:b/>
          <w:bCs/>
          <w:shadow/>
          <w:sz w:val="2"/>
          <w:u w:val="single"/>
        </w:rPr>
      </w:pPr>
      <w:r>
        <w:rPr>
          <w:b/>
          <w:bCs/>
          <w:shadow/>
          <w:sz w:val="2"/>
          <w:u w:val="single"/>
        </w:rPr>
      </w:r>
    </w:p>
    <w:p>
      <w:pPr>
        <w:pStyle w:val="Normal"/>
        <w:ind w:end="-360"/>
        <w:jc w:val="both"/>
        <w:rPr>
          <w:bCs/>
        </w:rPr>
      </w:pPr>
      <w:hyperlink r:id="rId19">
        <w:r>
          <w:rPr>
            <w:rStyle w:val="Hyperlink"/>
            <w:bCs/>
          </w:rPr>
          <w:t>Link to GAO Report</w:t>
        </w:r>
      </w:hyperlink>
    </w:p>
    <w:p>
      <w:pPr>
        <w:pStyle w:val="Normal"/>
        <w:ind w:end="-360"/>
        <w:jc w:val="both"/>
        <w:rPr>
          <w:bCs/>
          <w:sz w:val="24"/>
        </w:rPr>
      </w:pPr>
      <w:r>
        <w:rPr>
          <w:bCs/>
          <w:sz w:val="24"/>
        </w:rPr>
      </w:r>
    </w:p>
    <w:p>
      <w:pPr>
        <w:pStyle w:val="Normal"/>
        <w:ind w:start="-360" w:end="-360"/>
        <w:jc w:val="center"/>
        <w:rPr>
          <w:b/>
          <w:bCs/>
          <w:shadow/>
          <w:sz w:val="22"/>
          <w:u w:val="single"/>
        </w:rPr>
      </w:pPr>
      <w:r>
        <w:rPr>
          <w:b/>
          <w:bCs/>
          <w:shadow/>
          <w:sz w:val="22"/>
          <w:u w:val="single"/>
        </w:rPr>
        <w:t>Workplace Issues</w:t>
      </w:r>
    </w:p>
    <w:p>
      <w:pPr>
        <w:pStyle w:val="Normal"/>
        <w:ind w:start="-360" w:end="-360"/>
        <w:jc w:val="both"/>
        <w:rPr>
          <w:b/>
          <w:bCs/>
          <w:shadow/>
          <w:sz w:val="22"/>
          <w:u w:val="single"/>
        </w:rPr>
      </w:pPr>
      <w:r>
        <w:rPr>
          <w:b/>
          <w:bCs/>
          <w:shadow/>
          <w:sz w:val="22"/>
          <w:u w:val="single"/>
        </w:rPr>
      </w:r>
    </w:p>
    <w:p>
      <w:pPr>
        <w:pStyle w:val="Heading4"/>
        <w:ind w:hanging="0" w:start="0"/>
        <w:rPr>
          <w:shadow/>
        </w:rPr>
      </w:pPr>
      <w:r>
        <w:rPr>
          <w:shadow/>
        </w:rPr>
        <w:t>Detachment Theory?</w:t>
      </w:r>
    </w:p>
    <w:p>
      <w:pPr>
        <w:pStyle w:val="Normal"/>
        <w:jc w:val="both"/>
        <w:rPr/>
      </w:pPr>
      <w:r>
        <w:rPr/>
        <w:t xml:space="preserve">The failure of newly promoted managers and executives to build a strong team and, at the same time, reach out to their colleagues and peers, is by far the biggest reason why 40% of them fail within the first 18 months in their new posts.  </w:t>
      </w:r>
      <w:r>
        <w:rPr>
          <w:szCs w:val="27"/>
        </w:rPr>
        <w:t xml:space="preserve">They do not successfully build partnerships and teamwork with their subordinates and peers, according to a survey of 826 human resource managers nationwide by Manchester Inc. </w:t>
      </w:r>
      <w:r>
        <w:rPr/>
        <w:t xml:space="preserve"> </w:t>
      </w:r>
      <w:r>
        <w:rPr>
          <w:szCs w:val="27"/>
        </w:rPr>
        <w:t>"Failing" includes being terminated for performance, performing significantly below expectations, or voluntarily resigning from the new position.</w:t>
      </w:r>
    </w:p>
    <w:p>
      <w:pPr>
        <w:pStyle w:val="Header"/>
        <w:tabs>
          <w:tab w:val="clear" w:pos="4320"/>
          <w:tab w:val="clear" w:pos="8640"/>
        </w:tabs>
        <w:jc w:val="both"/>
        <w:rPr/>
      </w:pPr>
      <w:hyperlink r:id="rId20">
        <w:r>
          <w:rPr>
            <w:rStyle w:val="Hyperlink"/>
            <w:color w:val="800080"/>
          </w:rPr>
          <w:t>Link to Articl</w:t>
        </w:r>
      </w:hyperlink>
      <w:r>
        <w:rPr>
          <w:rFonts w:eastAsia="Arial Unicode MS"/>
          <w:color w:val="800080"/>
          <w:u w:val="single"/>
        </w:rPr>
        <w:t>e</w:t>
      </w:r>
    </w:p>
    <w:p>
      <w:pPr>
        <w:pStyle w:val="Normal"/>
        <w:ind w:end="-360"/>
        <w:jc w:val="both"/>
        <w:rPr>
          <w:rFonts w:eastAsia="Arial Unicode MS"/>
          <w:b/>
          <w:bCs/>
          <w:shadow/>
          <w:color w:val="800080"/>
          <w:u w:val="single"/>
        </w:rPr>
      </w:pPr>
      <w:r>
        <w:rPr>
          <w:rFonts w:eastAsia="Arial Unicode MS"/>
          <w:b/>
          <w:bCs/>
          <w:shadow/>
          <w:color w:val="800080"/>
          <w:u w:val="single"/>
        </w:rPr>
      </w:r>
    </w:p>
    <w:p>
      <w:pPr>
        <w:pStyle w:val="Normal"/>
        <w:ind w:end="-360"/>
        <w:jc w:val="both"/>
        <w:rPr>
          <w:b/>
          <w:bCs/>
          <w:shadow/>
          <w:u w:val="single"/>
        </w:rPr>
      </w:pPr>
      <w:r>
        <w:rPr>
          <w:b/>
          <w:bCs/>
          <w:shadow/>
          <w:u w:val="single"/>
        </w:rPr>
        <w:t>Study Faults Work Of Auditors Who Consult</w:t>
      </w:r>
    </w:p>
    <w:p>
      <w:pPr>
        <w:pStyle w:val="Normal"/>
        <w:ind w:end="-360"/>
        <w:jc w:val="both"/>
        <w:rPr/>
      </w:pPr>
      <w:r>
        <w:rPr/>
        <w:t>Auditing firms that were receiving substantial consulting fees from the firms they audited were more likely to compromise and stretch the limits of accepted accounting practices, according to a study by professors at Massachusetts Institute of Technology, Michigan State University and Stanford University. Accounting firms have argued that there was no evidence to support claims that consulting work interfered with a firm's ability to conduct an honest review of a client's books. "Our study suggests that paying an accounting firm more for nonaudit services impairs auditor independence and reduces the quality of earnings," said a co-author of the study. The professors reviewed 4,200 company filings with regulators for the report.</w:t>
      </w:r>
    </w:p>
    <w:p>
      <w:pPr>
        <w:pStyle w:val="Normal"/>
        <w:ind w:start="-360" w:end="-360"/>
        <w:jc w:val="both"/>
        <w:rPr>
          <w:rFonts w:eastAsia="Tahoma"/>
          <w:b/>
          <w:bCs/>
          <w:shadow/>
          <w:u w:val="single"/>
        </w:rPr>
      </w:pPr>
      <w:r>
        <w:rPr>
          <w:rFonts w:eastAsia="Tahoma"/>
          <w:b/>
          <w:bCs/>
          <w:shadow/>
          <w:u w:val="single"/>
        </w:rPr>
        <w:t xml:space="preserve"> </w:t>
      </w:r>
    </w:p>
    <w:p>
      <w:pPr>
        <w:pStyle w:val="Normal"/>
        <w:ind w:end="-360"/>
        <w:jc w:val="both"/>
        <w:rPr>
          <w:b/>
          <w:bCs/>
          <w:shadow/>
          <w:u w:val="single"/>
        </w:rPr>
      </w:pPr>
      <w:r>
        <w:rPr>
          <w:b/>
          <w:bCs/>
          <w:shadow/>
          <w:u w:val="single"/>
        </w:rPr>
        <w:t>Vigilance In The Face Of Layoff Rage</w:t>
      </w:r>
    </w:p>
    <w:p>
      <w:pPr>
        <w:pStyle w:val="Normal"/>
        <w:ind w:end="-360"/>
        <w:jc w:val="both"/>
        <w:rPr/>
      </w:pPr>
      <w:r>
        <w:rPr/>
        <w:t xml:space="preserve">The improper handling of terminations can result in employee retribution, according to experts. A survey of Fortune 100 companies by Pinkerton Inc. found that the two of the most common acts of revenge were theft of company property and breaches in the company's computer network. </w:t>
      </w:r>
    </w:p>
    <w:p>
      <w:pPr>
        <w:pStyle w:val="Normal"/>
        <w:ind w:end="-360"/>
        <w:jc w:val="both"/>
        <w:rPr>
          <w:sz w:val="8"/>
        </w:rPr>
      </w:pPr>
      <w:r>
        <w:rPr>
          <w:sz w:val="8"/>
        </w:rPr>
      </w:r>
    </w:p>
    <w:p>
      <w:pPr>
        <w:pStyle w:val="Normal"/>
        <w:ind w:end="-360"/>
        <w:jc w:val="both"/>
        <w:rPr/>
      </w:pPr>
      <w:r>
        <w:rPr/>
        <w:t xml:space="preserve">The firm estimated that employee retaliation occured in only 1 percent of dismissals, but retaliation at companies that didn't handle layoffs well or had a hostile corporate culture could be as high as 5 percent. Security experts have recommended that companies cut off employees' connections to the corporate networks before letting the employees go, or letting dismissed workers download or erase personal files under strict company supervision. But disgruntled employees can use the Internet to spread false information in chat rooms or for sending out false press releases. </w:t>
      </w:r>
    </w:p>
    <w:p>
      <w:pPr>
        <w:pStyle w:val="Normal"/>
        <w:ind w:end="-360"/>
        <w:jc w:val="both"/>
        <w:rPr>
          <w:sz w:val="8"/>
        </w:rPr>
      </w:pPr>
      <w:r>
        <w:rPr>
          <w:sz w:val="8"/>
        </w:rPr>
      </w:r>
    </w:p>
    <w:p>
      <w:pPr>
        <w:pStyle w:val="Normal"/>
        <w:ind w:end="-360"/>
        <w:jc w:val="both"/>
        <w:rPr/>
      </w:pPr>
      <w:r>
        <w:rPr/>
        <w:t>As a result, experts have recommended that security guards only be used in appropriate settings, since they can increase the victims' resentment; that terminations be handled professionally; and that backup filing systems be maintained to protect crucial documents against sabotage. Specific examples of retribution and how it was accomplished were provided throughout the article.</w:t>
      </w:r>
    </w:p>
    <w:p>
      <w:pPr>
        <w:pStyle w:val="Normal"/>
        <w:ind w:start="-360" w:end="-360"/>
        <w:jc w:val="both"/>
        <w:rPr>
          <w:b/>
          <w:bCs/>
          <w:shadow/>
          <w:sz w:val="16"/>
          <w:u w:val="single"/>
        </w:rPr>
      </w:pPr>
      <w:r>
        <w:rPr>
          <w:b/>
          <w:bCs/>
          <w:shadow/>
          <w:sz w:val="16"/>
          <w:u w:val="single"/>
        </w:rPr>
      </w:r>
    </w:p>
    <w:p>
      <w:pPr>
        <w:pStyle w:val="BodyText2"/>
        <w:pBdr>
          <w:top w:val="single" w:sz="18" w:space="1" w:color="000000" w:shadow="1"/>
          <w:left w:val="single" w:sz="18" w:space="4" w:color="000000" w:shadow="1"/>
          <w:bottom w:val="single" w:sz="18" w:space="1" w:color="000000" w:shadow="1"/>
          <w:right w:val="single" w:sz="18" w:space="4" w:color="000000" w:shadow="1"/>
        </w:pBdr>
        <w:shd w:fill="FFCC99" w:val="clear"/>
        <w:autoSpaceDE w:val="true"/>
        <w:ind w:end="-360"/>
        <w:rPr>
          <w:b/>
          <w:bCs/>
          <w:shadow/>
          <w:sz w:val="16"/>
          <w:u w:val="single"/>
        </w:rPr>
      </w:pPr>
      <w:r>
        <w:rPr>
          <w:b/>
          <w:bCs/>
          <w:shadow/>
          <w:sz w:val="16"/>
          <w:u w:val="single"/>
        </w:rPr>
      </w:r>
    </w:p>
    <w:p>
      <w:pPr>
        <w:pStyle w:val="BodyText2"/>
        <w:pBdr>
          <w:top w:val="single" w:sz="18" w:space="1" w:color="000000" w:shadow="1"/>
          <w:left w:val="single" w:sz="18" w:space="4" w:color="000000" w:shadow="1"/>
          <w:bottom w:val="single" w:sz="18" w:space="1" w:color="000000" w:shadow="1"/>
          <w:right w:val="single" w:sz="18" w:space="4" w:color="000000" w:shadow="1"/>
        </w:pBdr>
        <w:shd w:fill="FFCC99" w:val="clear"/>
        <w:autoSpaceDE w:val="true"/>
        <w:ind w:end="-360"/>
        <w:rPr>
          <w:color w:val="000080"/>
        </w:rPr>
      </w:pPr>
      <w:r>
        <w:rPr>
          <w:color w:val="000080"/>
        </w:rPr>
        <w:t>Workplace relationships are suffering. The recent economic downturn has led to an 11% decline in satisfaction with relationships between co-workers and supervisors, according to a study this year by Rutgers University and the University of Connecticut.</w:t>
      </w:r>
    </w:p>
    <w:p>
      <w:pPr>
        <w:pStyle w:val="Normal"/>
        <w:pBdr>
          <w:top w:val="single" w:sz="18" w:space="1" w:color="000000" w:shadow="1"/>
          <w:left w:val="single" w:sz="18" w:space="4" w:color="000000" w:shadow="1"/>
          <w:bottom w:val="single" w:sz="18" w:space="1" w:color="000000" w:shadow="1"/>
          <w:right w:val="single" w:sz="18" w:space="4" w:color="000000" w:shadow="1"/>
        </w:pBdr>
        <w:shd w:fill="FFCC99" w:val="clear"/>
        <w:ind w:end="-360"/>
        <w:jc w:val="both"/>
        <w:rPr>
          <w:color w:val="000080"/>
        </w:rPr>
      </w:pPr>
      <w:r>
        <w:rPr>
          <w:color w:val="000080"/>
        </w:rPr>
      </w:r>
    </w:p>
    <w:p>
      <w:pPr>
        <w:pStyle w:val="Normal"/>
        <w:ind w:end="-360"/>
        <w:jc w:val="both"/>
        <w:rPr/>
      </w:pPr>
      <w:r>
        <w:rPr/>
      </w:r>
    </w:p>
    <w:p>
      <w:pPr>
        <w:pStyle w:val="Normal"/>
        <w:ind w:end="-360"/>
        <w:jc w:val="center"/>
        <w:rPr/>
      </w:pPr>
      <w:r>
        <w:rPr>
          <w:b/>
          <w:bCs/>
          <w:shadow/>
          <w:sz w:val="22"/>
          <w:u w:val="single"/>
        </w:rPr>
        <w:t>Workplace Issues</w:t>
      </w:r>
      <w:r>
        <w:rPr>
          <w:b/>
          <w:bCs/>
          <w:shadow/>
          <w:sz w:val="22"/>
        </w:rPr>
        <w:t xml:space="preserve"> (cont.)</w:t>
      </w:r>
    </w:p>
    <w:p>
      <w:pPr>
        <w:pStyle w:val="Normal"/>
        <w:ind w:end="-360"/>
        <w:jc w:val="center"/>
        <w:rPr>
          <w:b/>
          <w:bCs/>
          <w:shadow/>
          <w:sz w:val="22"/>
          <w:u w:val="single"/>
        </w:rPr>
      </w:pPr>
      <w:r>
        <w:rPr>
          <w:b/>
          <w:bCs/>
          <w:shadow/>
          <w:sz w:val="22"/>
          <w:u w:val="single"/>
        </w:rPr>
      </w:r>
    </w:p>
    <w:p>
      <w:pPr>
        <w:pStyle w:val="Normal"/>
        <w:ind w:end="-180"/>
        <w:jc w:val="both"/>
        <w:rPr>
          <w:b/>
          <w:bCs/>
          <w:shadow/>
          <w:u w:val="single"/>
        </w:rPr>
      </w:pPr>
      <w:r>
        <w:rPr>
          <w:b/>
          <w:bCs/>
          <w:shadow/>
          <w:u w:val="single"/>
        </w:rPr>
        <w:t xml:space="preserve">Houston employers behind on flexibility </w:t>
      </w:r>
    </w:p>
    <w:p>
      <w:pPr>
        <w:pStyle w:val="Normal"/>
        <w:ind w:end="-180"/>
        <w:jc w:val="both"/>
        <w:rPr/>
      </w:pPr>
      <w:r>
        <w:rPr/>
        <w:t xml:space="preserve">In its survey of large employers, Hewitt Associates found that 28 percent of employers in the United States offer job-sharing arrangements, compared with 15 percent in Houston. It's practically the same story for telecommuting.  Ditto for part-time employment. Nationwide, 48 percent of employers offer part-time work schedules, compared with 35 percent in Houston. </w:t>
      </w:r>
    </w:p>
    <w:p>
      <w:pPr>
        <w:pStyle w:val="Normal"/>
        <w:ind w:end="-180"/>
        <w:jc w:val="both"/>
        <w:rPr>
          <w:sz w:val="8"/>
        </w:rPr>
      </w:pPr>
      <w:r>
        <w:rPr>
          <w:sz w:val="8"/>
        </w:rPr>
      </w:r>
    </w:p>
    <w:p>
      <w:pPr>
        <w:pStyle w:val="Normal"/>
        <w:ind w:end="-180"/>
        <w:jc w:val="both"/>
        <w:rPr/>
      </w:pPr>
      <w:r>
        <w:rPr/>
        <w:t>The findings were similar for an array of benefits -- including adoption benefits, which only 15 percent of large Houston employers offer compared with 32 percent in the rest of the nation.  And financial security seminars, which have become very popular, haven't caught on in Houston. Only 15 percent of large Houston employers offer the seminars that teach employees how to pay off debts and build up savings, while 41 percent of employers outside Houston offer the seminars.</w:t>
      </w:r>
    </w:p>
    <w:p>
      <w:pPr>
        <w:pStyle w:val="Normal"/>
        <w:ind w:start="-360" w:end="-360"/>
        <w:jc w:val="both"/>
        <w:rPr>
          <w:b/>
          <w:bCs/>
          <w:shadow/>
          <w:u w:val="single"/>
        </w:rPr>
      </w:pPr>
      <w:r>
        <w:rPr>
          <w:b/>
          <w:bCs/>
          <w:shadow/>
          <w:u w:val="single"/>
        </w:rPr>
      </w:r>
    </w:p>
    <w:p>
      <w:pPr>
        <w:pStyle w:val="Normal"/>
        <w:ind w:start="-360" w:end="-360"/>
        <w:jc w:val="center"/>
        <w:rPr>
          <w:b/>
          <w:bCs/>
          <w:shadow/>
          <w:sz w:val="22"/>
          <w:u w:val="single"/>
        </w:rPr>
      </w:pPr>
      <w:r>
        <w:rPr>
          <w:b/>
          <w:bCs/>
          <w:shadow/>
          <w:sz w:val="22"/>
          <w:u w:val="single"/>
        </w:rPr>
        <w:t>U.K. HR News</w:t>
      </w:r>
    </w:p>
    <w:p>
      <w:pPr>
        <w:pStyle w:val="Header"/>
        <w:tabs>
          <w:tab w:val="clear" w:pos="4320"/>
          <w:tab w:val="clear" w:pos="8640"/>
        </w:tabs>
        <w:jc w:val="both"/>
        <w:rPr>
          <w:b/>
          <w:bCs/>
          <w:shadow/>
          <w:sz w:val="22"/>
          <w:u w:val="single"/>
        </w:rPr>
      </w:pPr>
      <w:r>
        <w:rPr>
          <w:b/>
          <w:bCs/>
          <w:shadow/>
          <w:sz w:val="22"/>
          <w:u w:val="single"/>
        </w:rPr>
      </w:r>
    </w:p>
    <w:p>
      <w:pPr>
        <w:pStyle w:val="Heading4"/>
        <w:ind w:hanging="0" w:start="0"/>
        <w:rPr/>
      </w:pPr>
      <w:r>
        <w:rPr>
          <w:rStyle w:val="mainsubheader"/>
          <w:shadow/>
          <w:szCs w:val="20"/>
        </w:rPr>
        <w:t>International experience is a key factor in retention</w:t>
      </w:r>
    </w:p>
    <w:p>
      <w:pPr>
        <w:pStyle w:val="Normal"/>
        <w:jc w:val="both"/>
        <w:rPr/>
      </w:pPr>
      <w:r>
        <w:rPr/>
        <w:t>17% of young professionals across Europe will resign if they are not provided with international experience, according to new research from the Cranfield School of Management and Jobline International, a recruitment service.  The study questioned over 6,500 employees from ten countries and found that 75% rated overseas assignments as "very important" to their future careers.  A total of 57% wanted their next job to be abroad, and worryingly for employers, 35% did not believe their current company could provide them with the foreign opportunities that they desire.</w:t>
      </w:r>
    </w:p>
    <w:p>
      <w:pPr>
        <w:pStyle w:val="Normal"/>
        <w:jc w:val="both"/>
        <w:rPr>
          <w:rFonts w:eastAsia="Tahoma"/>
          <w:sz w:val="8"/>
        </w:rPr>
      </w:pPr>
      <w:r>
        <w:rPr>
          <w:rFonts w:eastAsia="Tahoma"/>
          <w:sz w:val="8"/>
        </w:rPr>
        <w:t xml:space="preserve"> </w:t>
      </w:r>
    </w:p>
    <w:p>
      <w:pPr>
        <w:pStyle w:val="Normal"/>
        <w:jc w:val="both"/>
        <w:rPr/>
      </w:pPr>
      <w:r>
        <w:rPr/>
        <w:t xml:space="preserve">"This research proves that there is a great deal of desire and enthusiasm for international opportunities and that the achievers of the future are switched on to the global nature of business today.  Organizations wanting to attract and retain the most talented individuals should take into account these ambitions, and not only provide the relevant opportunities but also convince existing and potential professionals that they can do so," said Toon Bouten, chief executive of Jobline International. </w:t>
      </w:r>
    </w:p>
    <w:p>
      <w:pPr>
        <w:pStyle w:val="Normal"/>
        <w:jc w:val="both"/>
        <w:rPr>
          <w:sz w:val="10"/>
        </w:rPr>
      </w:pPr>
      <w:r>
        <w:rPr>
          <w:sz w:val="10"/>
        </w:rPr>
      </w:r>
    </w:p>
    <w:p>
      <w:pPr>
        <w:pStyle w:val="Normal"/>
        <w:jc w:val="both"/>
        <w:rPr>
          <w:sz w:val="6"/>
        </w:rPr>
      </w:pPr>
      <w:r>
        <w:rPr>
          <w:sz w:val="6"/>
        </w:rPr>
      </w:r>
    </w:p>
    <w:p>
      <w:pPr>
        <w:pStyle w:val="Normal"/>
        <w:jc w:val="both"/>
        <w:rPr>
          <w:b/>
          <w:bCs/>
          <w:shadow/>
          <w:u w:val="single"/>
        </w:rPr>
      </w:pPr>
      <w:r>
        <w:rPr>
          <w:b/>
          <w:bCs/>
          <w:shadow/>
          <w:u w:val="single"/>
        </w:rPr>
        <w:t>Transatlantic tax deal benefits expats</w:t>
      </w:r>
    </w:p>
    <w:p>
      <w:pPr>
        <w:pStyle w:val="Normal"/>
        <w:jc w:val="both"/>
        <w:rPr/>
      </w:pPr>
      <w:r>
        <w:rPr/>
        <w:t>The United States and Britain signed a treaty that eliminates a tax on corporate dividends between the two nations, a change officials said would help expatriates avoid paying double tax and ultimately spur greater investment across the Atlantic.  In addition, company executives that have been lobbying to end dividend withholding taxes say it sets an important precedent that could lead to similar changes in U.S. treaties with other countries. The treaty marks the first time such a withholding tax has been abolished in a U.S. treaty.</w:t>
      </w:r>
    </w:p>
    <w:p>
      <w:pPr>
        <w:pStyle w:val="Normal"/>
        <w:jc w:val="both"/>
        <w:rPr/>
      </w:pPr>
      <w:hyperlink r:id="rId21">
        <w:r>
          <w:rPr>
            <w:rStyle w:val="Hyperlink"/>
          </w:rPr>
          <w:t>Link to Article</w:t>
        </w:r>
      </w:hyperlink>
    </w:p>
    <w:p>
      <w:pPr>
        <w:pStyle w:val="Normal"/>
        <w:ind w:end="-360"/>
        <w:jc w:val="both"/>
        <w:rPr/>
      </w:pPr>
      <w:r>
        <w:rPr/>
      </w:r>
    </w:p>
    <w:p>
      <w:pPr>
        <w:pStyle w:val="Normal"/>
        <w:jc w:val="both"/>
        <w:rPr>
          <w:b/>
          <w:bCs/>
          <w:shadow/>
          <w:u w:val="single"/>
        </w:rPr>
      </w:pPr>
      <w:r>
        <w:rPr>
          <w:b/>
          <w:bCs/>
          <w:shadow/>
          <w:u w:val="single"/>
        </w:rPr>
        <w:t xml:space="preserve">Employers hit by unexpected taxation of severance payments  </w:t>
      </w:r>
    </w:p>
    <w:p>
      <w:pPr>
        <w:pStyle w:val="Normal"/>
        <w:jc w:val="both"/>
        <w:rPr/>
      </w:pPr>
      <w:r>
        <w:rPr/>
        <w:t xml:space="preserve">Employers must be wary of treating the first £30,000 of severance payments as tax free in all severances, warn employment lawyers.  A case reported this month (Richards v Delaney) may have severely limited the circumstances in which tax relief will be available. This will force City institutions to consider carefully the way they negotiate severance terms and termination procedures may need to be revisited. </w:t>
      </w:r>
    </w:p>
    <w:p>
      <w:pPr>
        <w:pStyle w:val="Normal"/>
        <w:jc w:val="both"/>
        <w:rPr>
          <w:sz w:val="10"/>
        </w:rPr>
      </w:pPr>
      <w:r>
        <w:rPr>
          <w:sz w:val="10"/>
        </w:rPr>
      </w:r>
    </w:p>
    <w:p>
      <w:pPr>
        <w:pStyle w:val="BodyText2"/>
        <w:autoSpaceDE w:val="true"/>
        <w:rPr/>
      </w:pPr>
      <w:r>
        <w:rPr/>
        <w:t xml:space="preserve">One needs to be cautious as it may be possible to distinguish the facts in Delaney from those in future cases but it is possible to see how it could be given a wide application. In general, all payments made in connection with a contract of employment are liable to income tax. But where a lump sum is paid to an employee as part of a severance package it may qualify for relief. </w:t>
      </w:r>
    </w:p>
    <w:p>
      <w:pPr>
        <w:pStyle w:val="Normal"/>
        <w:ind w:start="-360" w:end="0"/>
        <w:jc w:val="both"/>
        <w:rPr>
          <w:b/>
          <w:bCs/>
          <w:shadow/>
          <w:sz w:val="8"/>
          <w:u w:val="single"/>
        </w:rPr>
      </w:pPr>
      <w:r>
        <w:rPr>
          <w:b/>
          <w:bCs/>
          <w:shadow/>
          <w:sz w:val="8"/>
          <w:u w:val="single"/>
        </w:rPr>
      </w:r>
    </w:p>
    <w:p>
      <w:pPr>
        <w:pStyle w:val="Normal"/>
        <w:jc w:val="both"/>
        <w:rPr>
          <w:bCs/>
        </w:rPr>
      </w:pPr>
      <w:r>
        <w:rPr>
          <w:bCs/>
        </w:rPr>
        <w:t xml:space="preserve">In deciding which tax regime applies, the first step is to consider whether the lump sum is being paid under the contract of employment. It has long been understood that payments made under specific early termination provisions and payment in lieu of notice clauses (PILONs) will fall into this category. </w:t>
      </w:r>
    </w:p>
    <w:p>
      <w:pPr>
        <w:pStyle w:val="Normal"/>
        <w:ind w:end="-360"/>
        <w:jc w:val="both"/>
        <w:rPr>
          <w:bCs/>
        </w:rPr>
      </w:pPr>
      <w:r>
        <w:rPr>
          <w:bCs/>
        </w:rPr>
      </w:r>
    </w:p>
    <w:p>
      <w:pPr>
        <w:pStyle w:val="Normal"/>
        <w:ind w:end="-360"/>
        <w:jc w:val="both"/>
        <w:rPr>
          <w:bCs/>
        </w:rPr>
      </w:pPr>
      <w:r>
        <w:rPr>
          <w:bCs/>
        </w:rPr>
        <w:t xml:space="preserve">If the severance payment is not being made under the contract of employment, then tax relief will be available. This clearly covers cases where even though no deal is agreed before dismissal occurs, a payment is made after dismissal. </w:t>
      </w:r>
    </w:p>
    <w:p>
      <w:pPr>
        <w:pStyle w:val="Normal"/>
        <w:ind w:start="-360" w:end="-360"/>
        <w:jc w:val="both"/>
        <w:rPr>
          <w:b/>
          <w:bCs/>
          <w:shadow/>
          <w:u w:val="single"/>
        </w:rPr>
      </w:pPr>
      <w:r>
        <w:rPr>
          <w:b/>
          <w:bCs/>
          <w:shadow/>
          <w:u w:val="single"/>
        </w:rPr>
      </w:r>
    </w:p>
    <w:p>
      <w:pPr>
        <w:pStyle w:val="Normal"/>
        <w:ind w:start="-360" w:end="-360"/>
        <w:jc w:val="center"/>
        <w:rPr>
          <w:b/>
          <w:bCs/>
          <w:shadow/>
          <w:sz w:val="22"/>
          <w:u w:val="single"/>
        </w:rPr>
      </w:pPr>
      <w:r>
        <w:rPr>
          <w:b/>
          <w:bCs/>
          <w:shadow/>
          <w:sz w:val="22"/>
          <w:u w:val="single"/>
        </w:rPr>
        <w:t>Significant Layoff Announcements</w:t>
      </w:r>
    </w:p>
    <w:p>
      <w:pPr>
        <w:pStyle w:val="Normal"/>
        <w:ind w:start="-360" w:end="-360"/>
        <w:jc w:val="both"/>
        <w:rPr>
          <w:b/>
          <w:bCs/>
          <w:shadow/>
          <w:sz w:val="24"/>
          <w:u w:val="single"/>
        </w:rPr>
      </w:pPr>
      <w:r>
        <w:rPr>
          <w:b/>
          <w:bCs/>
          <w:shadow/>
          <w:sz w:val="24"/>
          <w:u w:val="single"/>
        </w:rPr>
      </w:r>
    </w:p>
    <w:p>
      <w:pPr>
        <w:pStyle w:val="Heading4"/>
        <w:ind w:hanging="0" w:start="0"/>
        <w:rPr>
          <w:u w:val="none"/>
        </w:rPr>
      </w:pPr>
      <w:r>
        <w:rPr>
          <w:u w:val="none"/>
        </w:rPr>
        <w:t>Investment Banking:</w:t>
      </w:r>
    </w:p>
    <w:p>
      <w:pPr>
        <w:pStyle w:val="Normal"/>
        <w:rPr>
          <w:u w:val="none"/>
        </w:rPr>
      </w:pPr>
      <w:r>
        <w:rPr>
          <w:u w:val="none"/>
        </w:rPr>
      </w:r>
    </w:p>
    <w:p>
      <w:pPr>
        <w:pStyle w:val="Heading4"/>
        <w:ind w:hanging="0" w:start="0"/>
        <w:rPr>
          <w:shadow/>
        </w:rPr>
      </w:pPr>
      <w:r>
        <w:rPr>
          <w:shadow/>
        </w:rPr>
        <w:t>Goldman offers HR staff voluntary redundancies</w:t>
      </w:r>
    </w:p>
    <w:p>
      <w:pPr>
        <w:pStyle w:val="Normal"/>
        <w:autoSpaceDE w:val="false"/>
        <w:jc w:val="both"/>
        <w:rPr>
          <w:szCs w:val="20"/>
        </w:rPr>
      </w:pPr>
      <w:r>
        <w:rPr>
          <w:szCs w:val="20"/>
        </w:rPr>
        <w:t>Goldman Sachs has agreed to a plan of voluntary redundancies as it slashes about 80 jobs from its 200-strong City HR team because of the turbulent equity markets.  "We can now confirm the recent speculation that these positions are going but this will be voluntary," a spokesman for the U.S. investment bank told Complinet.  He added that the cuts will be made across the HR department and will not focus on one specialty.  The firm declined to comment on details of the redundancy packages it is offering.  300 of Goldman's 800 HR employees worldwide are facing the axe as the bank gets to grips with the banking sector downturn.</w:t>
      </w:r>
    </w:p>
    <w:p>
      <w:pPr>
        <w:pStyle w:val="Normal"/>
        <w:autoSpaceDE w:val="false"/>
        <w:jc w:val="both"/>
        <w:rPr>
          <w:szCs w:val="20"/>
        </w:rPr>
      </w:pPr>
      <w:r>
        <w:rPr>
          <w:szCs w:val="20"/>
        </w:rPr>
      </w:r>
    </w:p>
    <w:p>
      <w:pPr>
        <w:pStyle w:val="Normal"/>
        <w:jc w:val="both"/>
        <w:rPr>
          <w:b/>
          <w:bCs/>
          <w:shadow/>
          <w:u w:val="single"/>
        </w:rPr>
      </w:pPr>
      <w:r>
        <w:rPr>
          <w:b/>
          <w:bCs/>
          <w:shadow/>
          <w:u w:val="single"/>
        </w:rPr>
        <w:t>CSFB Seeks To Trim Pay Of Some Stars</w:t>
      </w:r>
    </w:p>
    <w:p>
      <w:pPr>
        <w:pStyle w:val="Normal"/>
        <w:jc w:val="both"/>
        <w:rPr/>
      </w:pPr>
      <w:r>
        <w:rPr/>
        <w:t>Credit Suisse First Boston has been asking a number of the firm's executives with guaranteed-pay contracts to renegotiate them for less money. The move is part of a plan to cut costs at CSFB. The firm has been in a box because it had given a number of its bankers contracts that partly guaranteed them a set pay, no matter how bad business got--a kind of agreement not common on Wall Street.  CSFB was expected to go to three groups at the firm to ask them voluntarily to cut their compensation: the 100 or so investment bankers who were given pay guarantees after CSFB's DLJ purchase; the 30-member North American bond team; and 400 members of the tech-banking group based in Palo Alto. "It's a way for him to figure out who's on his team--it will be hard to say no," said a senior CSFB senior executive.</w:t>
      </w:r>
    </w:p>
    <w:p>
      <w:pPr>
        <w:pStyle w:val="Normal"/>
        <w:jc w:val="both"/>
        <w:rPr>
          <w:b/>
          <w:bCs/>
          <w:shadow/>
          <w:sz w:val="22"/>
          <w:u w:val="single"/>
        </w:rPr>
      </w:pPr>
      <w:r>
        <w:rPr>
          <w:b/>
          <w:bCs/>
          <w:shadow/>
          <w:sz w:val="22"/>
          <w:u w:val="single"/>
        </w:rPr>
      </w:r>
    </w:p>
    <w:p>
      <w:pPr>
        <w:pStyle w:val="Normal"/>
        <w:jc w:val="both"/>
        <w:rPr>
          <w:b/>
          <w:shadow/>
          <w:u w:val="single"/>
        </w:rPr>
      </w:pPr>
      <w:r>
        <w:rPr>
          <w:b/>
          <w:shadow/>
          <w:u w:val="single"/>
        </w:rPr>
        <w:t>Dresdner Kleinwort To Cut Staff Outside Europe, Including US</w:t>
      </w:r>
    </w:p>
    <w:p>
      <w:pPr>
        <w:pStyle w:val="Normal"/>
        <w:jc w:val="both"/>
        <w:rPr>
          <w:b/>
          <w:bCs/>
          <w:shadow/>
          <w:sz w:val="22"/>
          <w:u w:val="single"/>
        </w:rPr>
      </w:pPr>
      <w:r>
        <w:rPr>
          <w:bCs/>
        </w:rPr>
        <w:t xml:space="preserve">Dresdner Kleinwort Wasserstein is planning job cuts of more than 1,000 investment bankers outside of Europe. The securities firm is a subsidiary of Dresdner Bank, which was recently acquired by Allianz AG. Dresdner confirmed yesterday that it was going to merge Dresdner Kleinwort with the bank's corporate lending arm to create a full-service corporate-clients division, and it said it would concentrate its lending on German clients and its investment banking on European clients. Dresdner Kleinwort's staff in London and Frankfurt were expected to be unaffected by the job cuts, but staff in Hong Kong, Tokyo and New York will bear the brunt of them. </w:t>
      </w:r>
    </w:p>
    <w:p>
      <w:pPr>
        <w:pStyle w:val="Normal"/>
        <w:ind w:end="-360"/>
        <w:jc w:val="both"/>
        <w:rPr>
          <w:b/>
          <w:bCs/>
          <w:shadow/>
          <w:sz w:val="22"/>
          <w:u w:val="single"/>
        </w:rPr>
      </w:pPr>
      <w:r>
        <w:rPr>
          <w:b/>
          <w:bCs/>
          <w:shadow/>
          <w:sz w:val="22"/>
          <w:u w:val="single"/>
        </w:rPr>
      </w:r>
    </w:p>
    <w:p>
      <w:pPr>
        <w:pStyle w:val="Normal"/>
        <w:ind w:end="-360"/>
        <w:jc w:val="both"/>
        <w:rPr>
          <w:b/>
          <w:bCs/>
          <w:shadow/>
          <w:u w:val="single"/>
        </w:rPr>
      </w:pPr>
      <w:r>
        <w:rPr>
          <w:b/>
          <w:bCs/>
          <w:shadow/>
          <w:u w:val="single"/>
        </w:rPr>
        <w:t>Telecom:</w:t>
      </w:r>
    </w:p>
    <w:p>
      <w:pPr>
        <w:pStyle w:val="Normal"/>
        <w:ind w:end="-360"/>
        <w:jc w:val="both"/>
        <w:rPr>
          <w:b/>
          <w:bCs/>
          <w:shadow/>
          <w:sz w:val="10"/>
          <w:u w:val="single"/>
        </w:rPr>
      </w:pPr>
      <w:r>
        <w:rPr>
          <w:b/>
          <w:bCs/>
          <w:shadow/>
          <w:sz w:val="10"/>
          <w:u w:val="single"/>
        </w:rPr>
      </w:r>
    </w:p>
    <w:p>
      <w:pPr>
        <w:pStyle w:val="Normal"/>
        <w:jc w:val="both"/>
        <w:rPr>
          <w:b/>
          <w:bCs/>
          <w:shadow/>
          <w:u w:val="single"/>
        </w:rPr>
      </w:pPr>
      <w:r>
        <w:rPr>
          <w:b/>
          <w:bCs/>
          <w:shadow/>
          <w:u w:val="single"/>
        </w:rPr>
        <w:t>Telecoms Job Cuts Pass 250,000</w:t>
      </w:r>
    </w:p>
    <w:p>
      <w:pPr>
        <w:pStyle w:val="Normal"/>
        <w:jc w:val="both"/>
        <w:rPr/>
      </w:pPr>
      <w:r>
        <w:rPr/>
        <w:t>The global telecommunications industry has lost more than 293,000 jobs since the beginning of the year, according to research by the Financial Times, and component suppliers to the industry have eliminated 54,000 jobs, as the economic situation has deteriorated and the expectation of a quick recovery faded. Peter Knox, an analyst at Commerzbank, anticipated a year of recovery followed by a year of growth before the industry would be back at full capacity and ready to hire. Consumer confidence indicators for the US and Europe are to be released on Wednesday and there was concern that the rising number of job cuts will result in falling confidence levels, which will lower consumer spending and lead to recession.</w:t>
      </w:r>
    </w:p>
    <w:p>
      <w:pPr>
        <w:pStyle w:val="Normal"/>
        <w:jc w:val="both"/>
        <w:rPr>
          <w:b/>
          <w:bCs/>
          <w:shadow/>
          <w:sz w:val="22"/>
          <w:u w:val="single"/>
        </w:rPr>
      </w:pPr>
      <w:r>
        <w:rPr>
          <w:b/>
          <w:bCs/>
          <w:shadow/>
          <w:sz w:val="22"/>
          <w:u w:val="single"/>
        </w:rPr>
      </w:r>
    </w:p>
    <w:p>
      <w:pPr>
        <w:pStyle w:val="Normal"/>
        <w:jc w:val="both"/>
        <w:rPr>
          <w:b/>
          <w:bCs/>
          <w:shadow/>
          <w:u w:val="single"/>
        </w:rPr>
      </w:pPr>
      <w:r>
        <w:rPr>
          <w:b/>
          <w:bCs/>
          <w:shadow/>
          <w:u w:val="single"/>
        </w:rPr>
        <w:t>Hewlett-Packard To Reduce Its Work Force By 6,000</w:t>
      </w:r>
    </w:p>
    <w:p>
      <w:pPr>
        <w:pStyle w:val="Normal"/>
        <w:jc w:val="both"/>
        <w:rPr/>
      </w:pPr>
      <w:r>
        <w:rPr/>
        <w:t>Saying that consumer spending was weak in all global sectors, Carleton S. Fiorina, CEO of Hewlett-Packard, announced job cuts totaling 6,000, about 6.5 percent of her company's workforce. HP will make the majority of the cuts in the fourth quarter of this year. According to Fiorina, the cuts should save the company $500 million annually. This was the third time this year that HP has announced a reduction in head count. (This story was also reported in the WSJ p. A3 and the Financial Times p. 13.)</w:t>
      </w:r>
    </w:p>
    <w:p>
      <w:pPr>
        <w:pStyle w:val="Normal"/>
        <w:jc w:val="both"/>
        <w:rPr>
          <w:b/>
          <w:bCs/>
          <w:shadow/>
          <w:sz w:val="22"/>
          <w:u w:val="single"/>
        </w:rPr>
      </w:pPr>
      <w:r>
        <w:rPr>
          <w:b/>
          <w:bCs/>
          <w:shadow/>
          <w:sz w:val="22"/>
          <w:u w:val="single"/>
        </w:rPr>
      </w:r>
    </w:p>
    <w:p>
      <w:pPr>
        <w:pStyle w:val="Normal"/>
        <w:jc w:val="both"/>
        <w:rPr>
          <w:b/>
          <w:bCs/>
          <w:shadow/>
          <w:u w:val="single"/>
        </w:rPr>
      </w:pPr>
      <w:r>
        <w:rPr>
          <w:b/>
          <w:bCs/>
          <w:shadow/>
          <w:u w:val="single"/>
        </w:rPr>
        <w:t>JDS To Cut 7,000 Jobs, Posts $7.9 Billion Loss</w:t>
      </w:r>
    </w:p>
    <w:p>
      <w:pPr>
        <w:pStyle w:val="BodyText2"/>
        <w:autoSpaceDE w:val="true"/>
        <w:rPr>
          <w:b/>
          <w:bCs/>
          <w:shadow/>
          <w:sz w:val="22"/>
          <w:u w:val="single"/>
        </w:rPr>
      </w:pPr>
      <w:r>
        <w:rPr/>
        <w:t xml:space="preserve">JDS Uniphase Corp., a leading maker of fiber-optic parts with headquarters in San Jose and Ottawa, announced it would lay off an additional 7,000 workers, or 35 percent of its remaining workforce. These new layoffs will bring the company's total job cuts to 16,000, or about 55 percent of its workforce at the start of 2001. In addition to the layoffs, JDS said it would close 25 buildings in nine cities around the world. </w:t>
      </w:r>
    </w:p>
    <w:p>
      <w:pPr>
        <w:pStyle w:val="Normal"/>
        <w:ind w:end="-360"/>
        <w:jc w:val="both"/>
        <w:rPr>
          <w:b/>
          <w:bCs/>
          <w:shadow/>
          <w:sz w:val="22"/>
          <w:u w:val="single"/>
        </w:rPr>
      </w:pPr>
      <w:r>
        <w:rPr>
          <w:b/>
          <w:bCs/>
          <w:shadow/>
          <w:sz w:val="22"/>
          <w:u w:val="single"/>
        </w:rPr>
      </w:r>
    </w:p>
    <w:p>
      <w:pPr>
        <w:pStyle w:val="Normal"/>
        <w:ind w:end="-360"/>
        <w:jc w:val="both"/>
        <w:rPr>
          <w:b/>
          <w:bCs/>
          <w:shadow/>
          <w:sz w:val="22"/>
          <w:u w:val="single"/>
        </w:rPr>
      </w:pPr>
      <w:r>
        <w:rPr>
          <w:b/>
          <w:bCs/>
          <w:shadow/>
          <w:sz w:val="22"/>
          <w:u w:val="single"/>
        </w:rPr>
      </w:r>
    </w:p>
    <w:p>
      <w:pPr>
        <w:pStyle w:val="Normal"/>
        <w:ind w:end="-360"/>
        <w:jc w:val="both"/>
        <w:rPr/>
      </w:pPr>
      <w:r>
        <w:rPr>
          <w:rFonts w:eastAsia="Tahoma"/>
          <w:bCs/>
        </w:rPr>
        <w:t xml:space="preserve"> </w:t>
      </w:r>
      <w:r>
        <w:rPr>
          <w:b/>
          <w:bCs/>
          <w:shadow/>
        </w:rPr>
        <w:t>Alcatel Reports A Profit But Plans More Job Cuts</w:t>
      </w:r>
    </w:p>
    <w:p>
      <w:pPr>
        <w:pStyle w:val="Normal"/>
        <w:ind w:end="-360"/>
        <w:jc w:val="both"/>
        <w:rPr>
          <w:bCs/>
        </w:rPr>
      </w:pPr>
      <w:r>
        <w:rPr>
          <w:bCs/>
        </w:rPr>
        <w:t>In the latest example of the turmoil shaking the telecommunications industry, Alcatel said it was going to pare its workforce by about 18 percent this year to reduce operating costs. Alcatel had earlier this month announced plans to cut 3,500 jobs but now said it intended to lay off 20,000 of its 110,000 workers by the end of the year.</w:t>
      </w:r>
    </w:p>
    <w:p>
      <w:pPr>
        <w:pStyle w:val="Normal"/>
        <w:ind w:end="-360"/>
        <w:jc w:val="both"/>
        <w:rPr>
          <w:bCs/>
        </w:rPr>
      </w:pPr>
      <w:r>
        <w:rPr>
          <w:bCs/>
        </w:rPr>
      </w:r>
    </w:p>
    <w:p>
      <w:pPr>
        <w:pStyle w:val="Normal"/>
        <w:ind w:end="-360"/>
        <w:jc w:val="both"/>
        <w:rPr>
          <w:b/>
          <w:bCs/>
          <w:shadow/>
        </w:rPr>
      </w:pPr>
      <w:r>
        <w:rPr>
          <w:b/>
          <w:bCs/>
          <w:shadow/>
        </w:rPr>
        <w:t>Lucent’s Massive Loss</w:t>
      </w:r>
    </w:p>
    <w:p>
      <w:pPr>
        <w:pStyle w:val="Normal"/>
        <w:jc w:val="both"/>
        <w:rPr>
          <w:bCs/>
        </w:rPr>
      </w:pPr>
      <w:r>
        <w:rPr/>
        <w:t xml:space="preserve">Lucent Technologies' efforts to escape the deepening crisis in the global telecommunications equipment industry took a hit as the U.S. company disclosed another $7 to $9 billion of restructuring charges.  The latest moves will result in another 15,000 to 20,000 Lucent workers losing their jobs, on top of the 19,000 cut since the start of this year, as the company digs deeper to try to return to profitability.  The cuts, out of a total of 76,000, will also affect workers in Europe, where Lucent employs 17,000, some 3,000 of them in the UK. </w:t>
      </w:r>
    </w:p>
    <w:p>
      <w:pPr>
        <w:pStyle w:val="Normal"/>
        <w:jc w:val="both"/>
        <w:rPr>
          <w:bCs/>
        </w:rPr>
      </w:pPr>
      <w:r>
        <w:rPr>
          <w:bCs/>
        </w:rPr>
      </w:r>
    </w:p>
    <w:p>
      <w:pPr>
        <w:pStyle w:val="Normal"/>
        <w:ind w:end="-360"/>
        <w:jc w:val="both"/>
        <w:rPr>
          <w:bCs/>
        </w:rPr>
      </w:pPr>
      <w:r>
        <w:rPr>
          <w:bCs/>
        </w:rPr>
      </w:r>
    </w:p>
    <w:p>
      <w:pPr>
        <w:pStyle w:val="Heading5"/>
        <w:autoSpaceDE w:val="true"/>
        <w:ind w:hanging="0" w:start="0"/>
        <w:jc w:val="both"/>
        <w:rPr>
          <w:b w:val="false"/>
          <w:bCs w:val="false"/>
          <w:sz w:val="20"/>
          <w:u w:val="none"/>
        </w:rPr>
      </w:pPr>
      <w:r>
        <w:rPr>
          <w:b w:val="false"/>
          <w:bCs w:val="false"/>
          <w:sz w:val="20"/>
          <w:u w:val="none"/>
        </w:rPr>
      </w:r>
    </w:p>
    <w:p>
      <w:pPr>
        <w:pStyle w:val="Normal"/>
        <w:ind w:end="-360"/>
        <w:jc w:val="both"/>
        <w:rPr>
          <w:b/>
          <w:bCs/>
          <w:sz w:val="20"/>
          <w:u w:val="none"/>
        </w:rPr>
      </w:pPr>
      <w:r>
        <w:rPr>
          <w:b/>
          <w:bCs/>
          <w:sz w:val="20"/>
          <w:u w:val="none"/>
        </w:rPr>
      </w:r>
    </w:p>
    <w:p>
      <w:pPr>
        <w:pStyle w:val="Normal"/>
        <w:ind w:end="-360"/>
        <w:jc w:val="both"/>
        <w:rPr>
          <w:bCs/>
        </w:rPr>
      </w:pPr>
      <w:r>
        <w:rPr>
          <w:bCs/>
        </w:rPr>
      </w:r>
    </w:p>
    <w:p>
      <w:pPr>
        <w:pStyle w:val="Normal"/>
        <w:ind w:end="-360"/>
        <w:jc w:val="both"/>
        <w:rPr>
          <w:bCs/>
        </w:rPr>
      </w:pPr>
      <w:r>
        <w:rPr>
          <w:bCs/>
        </w:rPr>
      </w:r>
    </w:p>
    <w:p>
      <w:pPr>
        <w:pStyle w:val="Normal"/>
        <w:ind w:end="-360"/>
        <w:jc w:val="both"/>
        <w:rPr>
          <w:bCs/>
        </w:rPr>
      </w:pPr>
      <w:r>
        <w:rPr>
          <w:bCs/>
        </w:rPr>
      </w:r>
    </w:p>
    <w:p>
      <w:pPr>
        <w:pStyle w:val="Normal"/>
        <w:jc w:val="both"/>
        <w:rPr>
          <w:bCs/>
          <w:szCs w:val="20"/>
        </w:rPr>
      </w:pPr>
      <w:r>
        <w:rPr>
          <w:bCs/>
          <w:szCs w:val="20"/>
        </w:rPr>
      </w:r>
    </w:p>
    <w:p>
      <w:pPr>
        <w:pStyle w:val="Normal"/>
        <w:jc w:val="both"/>
        <w:rPr>
          <w:szCs w:val="20"/>
        </w:rPr>
      </w:pPr>
      <w:r>
        <w:rPr>
          <w:szCs w:val="20"/>
        </w:rPr>
      </w:r>
    </w:p>
    <w:p>
      <w:pPr>
        <w:pStyle w:val="Normal"/>
        <w:jc w:val="both"/>
        <w:rPr>
          <w:szCs w:val="20"/>
        </w:rPr>
      </w:pPr>
      <w:r>
        <w:rPr>
          <w:szCs w:val="20"/>
        </w:rPr>
      </w:r>
    </w:p>
    <w:p>
      <w:pPr>
        <w:pStyle w:val="Normal"/>
        <w:jc w:val="both"/>
        <w:rPr>
          <w:szCs w:val="20"/>
        </w:rPr>
      </w:pPr>
      <w:r>
        <w:rPr>
          <w:szCs w:val="20"/>
        </w:rPr>
      </w:r>
    </w:p>
    <w:p>
      <w:pPr>
        <w:pStyle w:val="Normal"/>
        <w:jc w:val="both"/>
        <w:rPr>
          <w:szCs w:val="20"/>
        </w:rPr>
      </w:pPr>
      <w:r>
        <w:rPr>
          <w:szCs w:val="20"/>
        </w:rPr>
      </w:r>
    </w:p>
    <w:p>
      <w:pPr>
        <w:pStyle w:val="Normal"/>
        <w:jc w:val="both"/>
        <w:rPr>
          <w:szCs w:val="20"/>
        </w:rPr>
      </w:pPr>
      <w:r>
        <w:rPr>
          <w:szCs w:val="20"/>
        </w:rPr>
      </w:r>
    </w:p>
    <w:p>
      <w:pPr>
        <w:pStyle w:val="Normal"/>
        <w:ind w:start="-360" w:end="-360"/>
        <w:jc w:val="both"/>
        <w:rPr>
          <w:bCs/>
          <w:szCs w:val="20"/>
        </w:rPr>
      </w:pPr>
      <w:r>
        <w:rPr>
          <w:bCs/>
          <w:szCs w:val="20"/>
        </w:rPr>
      </w:r>
    </w:p>
    <w:p>
      <w:pPr>
        <w:pStyle w:val="Normal"/>
        <w:ind w:start="-360" w:end="-360"/>
        <w:jc w:val="both"/>
        <w:rPr>
          <w:bCs/>
        </w:rPr>
      </w:pPr>
      <w:r>
        <w:rPr>
          <w:bCs/>
        </w:rPr>
      </w:r>
    </w:p>
    <w:sectPr>
      <w:headerReference w:type="default" r:id="rId22"/>
      <w:headerReference w:type="first" r:id="rId23"/>
      <w:footerReference w:type="default" r:id="rId24"/>
      <w:footerReference w:type="first" r:id="rId25"/>
      <w:type w:val="nextPage"/>
      <w:pgSz w:w="12240" w:h="15840"/>
      <w:pgMar w:left="1080" w:right="1260" w:gutter="0" w:header="720" w:top="1440" w:footer="720" w:bottom="776"/>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11</w:t>
    </w:r>
    <w:r>
      <w:rPr/>
      <w:fldChar w:fldCharType="end"/>
    </w:r>
    <w:r>
      <w:rPr/>
      <w:t xml:space="preserve"> -</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1" w:color="000000"/>
        <w:left w:val="single" w:sz="18" w:space="4" w:color="000000"/>
        <w:bottom w:val="single" w:sz="18" w:space="1" w:color="000000"/>
        <w:right w:val="single" w:sz="18" w:space="4" w:color="000000"/>
      </w:pBdr>
      <w:ind w:end="360"/>
      <w:rPr>
        <w:b/>
        <w:bCs/>
        <w:smallCaps/>
        <w:emboss/>
        <w:color w:val="003366"/>
        <w:sz w:val="36"/>
      </w:rPr>
    </w:pPr>
    <w:r>
      <w:rPr>
        <w:b/>
        <w:bCs/>
        <w:smallCaps/>
        <w:emboss/>
        <w:color w:val="003366"/>
        <w:sz w:val="36"/>
      </w:rPr>
      <w:tab/>
      <w:t>Enron HR Newsletter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0"/>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Tahoma" w:hAnsi="Tahoma" w:cs="Tahoma"/>
      <w:sz w:val="36"/>
    </w:rPr>
  </w:style>
  <w:style w:type="paragraph" w:styleId="Heading2">
    <w:name w:val="heading 2"/>
    <w:basedOn w:val="Normal"/>
    <w:next w:val="Normal"/>
    <w:qFormat/>
    <w:pPr>
      <w:keepNext w:val="true"/>
      <w:numPr>
        <w:ilvl w:val="1"/>
        <w:numId w:val="1"/>
      </w:numPr>
      <w:jc w:val="center"/>
      <w:outlineLvl w:val="1"/>
    </w:pPr>
    <w:rPr>
      <w:rFonts w:ascii="Tahoma" w:hAnsi="Tahoma" w:cs="Tahoma"/>
      <w:b/>
      <w:bCs/>
      <w:sz w:val="36"/>
    </w:rPr>
  </w:style>
  <w:style w:type="paragraph" w:styleId="Heading3">
    <w:name w:val="heading 3"/>
    <w:basedOn w:val="Normal"/>
    <w:next w:val="Normal"/>
    <w:qFormat/>
    <w:pPr>
      <w:keepNext w:val="true"/>
      <w:numPr>
        <w:ilvl w:val="2"/>
        <w:numId w:val="1"/>
      </w:numPr>
      <w:jc w:val="center"/>
      <w:outlineLvl w:val="2"/>
    </w:pPr>
    <w:rPr>
      <w:b/>
      <w:bCs/>
      <w:sz w:val="24"/>
      <w:u w:val="single"/>
    </w:rPr>
  </w:style>
  <w:style w:type="paragraph" w:styleId="Heading4">
    <w:name w:val="heading 4"/>
    <w:basedOn w:val="Normal"/>
    <w:next w:val="Normal"/>
    <w:qFormat/>
    <w:pPr>
      <w:keepNext w:val="true"/>
      <w:numPr>
        <w:ilvl w:val="3"/>
        <w:numId w:val="1"/>
      </w:numPr>
      <w:jc w:val="both"/>
      <w:outlineLvl w:val="3"/>
    </w:pPr>
    <w:rPr>
      <w:b/>
      <w:bCs/>
      <w:u w:val="single"/>
    </w:rPr>
  </w:style>
  <w:style w:type="paragraph" w:styleId="Heading5">
    <w:name w:val="heading 5"/>
    <w:basedOn w:val="Normal"/>
    <w:next w:val="Normal"/>
    <w:qFormat/>
    <w:pPr>
      <w:keepNext w:val="true"/>
      <w:numPr>
        <w:ilvl w:val="4"/>
        <w:numId w:val="1"/>
      </w:numPr>
      <w:autoSpaceDE w:val="false"/>
      <w:jc w:val="center"/>
      <w:outlineLvl w:val="4"/>
    </w:pPr>
    <w:rPr>
      <w:b/>
      <w:bCs/>
      <w:sz w:val="22"/>
      <w:u w:val="single"/>
    </w:rPr>
  </w:style>
  <w:style w:type="paragraph" w:styleId="Heading6">
    <w:name w:val="heading 6"/>
    <w:basedOn w:val="Normal"/>
    <w:next w:val="Normal"/>
    <w:qFormat/>
    <w:pPr>
      <w:keepNext w:val="true"/>
      <w:numPr>
        <w:ilvl w:val="5"/>
        <w:numId w:val="1"/>
      </w:numPr>
      <w:jc w:val="both"/>
      <w:outlineLvl w:val="5"/>
    </w:pPr>
    <w:rPr>
      <w:b/>
      <w:bCs/>
    </w:rPr>
  </w:style>
  <w:style w:type="paragraph" w:styleId="Heading7">
    <w:name w:val="heading 7"/>
    <w:basedOn w:val="Normal"/>
    <w:next w:val="Normal"/>
    <w:qFormat/>
    <w:pPr>
      <w:keepNext w:val="true"/>
      <w:numPr>
        <w:ilvl w:val="6"/>
        <w:numId w:val="1"/>
      </w:numPr>
      <w:outlineLvl w:val="6"/>
    </w:pPr>
    <w:rPr>
      <w:b/>
      <w:bCs/>
    </w:rPr>
  </w:style>
  <w:style w:type="paragraph" w:styleId="Heading8">
    <w:name w:val="heading 8"/>
    <w:basedOn w:val="Normal"/>
    <w:next w:val="Normal"/>
    <w:qFormat/>
    <w:pPr>
      <w:keepNext w:val="true"/>
      <w:numPr>
        <w:ilvl w:val="7"/>
        <w:numId w:val="1"/>
      </w:numPr>
      <w:outlineLvl w:val="7"/>
    </w:pPr>
    <w:rPr>
      <w:b/>
      <w:bCs/>
      <w:sz w:val="18"/>
    </w:rPr>
  </w:style>
  <w:style w:type="paragraph" w:styleId="Heading9">
    <w:name w:val="heading 9"/>
    <w:basedOn w:val="Normal"/>
    <w:next w:val="Normal"/>
    <w:qFormat/>
    <w:pPr>
      <w:keepNext w:val="true"/>
      <w:numPr>
        <w:ilvl w:val="8"/>
        <w:numId w:val="1"/>
      </w:numPr>
      <w:outlineLvl w:val="8"/>
    </w:pPr>
    <w:rPr>
      <w:b/>
      <w:bCs/>
      <w:color w:val="FFFFFF"/>
      <w:sz w:val="24"/>
      <w:szCs w:val="20"/>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sz w:val="20"/>
    </w:rPr>
  </w:style>
  <w:style w:type="character" w:styleId="WW8Num31z2">
    <w:name w:val="WW8Num31z2"/>
    <w:qFormat/>
    <w:rPr>
      <w:rFonts w:ascii="Wingdings" w:hAnsi="Wingdings" w:cs="Wingdings"/>
      <w:sz w:val="20"/>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sz w:val="20"/>
    </w:rPr>
  </w:style>
  <w:style w:type="character" w:styleId="WW8Num37z2">
    <w:name w:val="WW8Num37z2"/>
    <w:qFormat/>
    <w:rPr>
      <w:rFonts w:ascii="Wingdings" w:hAnsi="Wingdings" w:cs="Wingdings"/>
      <w:sz w:val="20"/>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sz w:val="20"/>
    </w:rPr>
  </w:style>
  <w:style w:type="character" w:styleId="WW8Num43z1">
    <w:name w:val="WW8Num43z1"/>
    <w:qFormat/>
    <w:rPr>
      <w:rFonts w:ascii="Courier New" w:hAnsi="Courier New" w:cs="Courier New"/>
      <w:sz w:val="20"/>
    </w:rPr>
  </w:style>
  <w:style w:type="character" w:styleId="WW8Num43z2">
    <w:name w:val="WW8Num43z2"/>
    <w:qFormat/>
    <w:rPr>
      <w:rFonts w:ascii="Wingdings" w:hAnsi="Wingdings" w:cs="Wingdings"/>
      <w:sz w:val="20"/>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sz w:val="16"/>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mainsubheader">
    <w:name w:val="mainsubheade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b/>
      <w:i/>
      <w:sz w:val="7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jc w:val="both"/>
    </w:pPr>
    <w:rPr>
      <w:rFonts w:ascii="Tahoma" w:hAnsi="Tahoma" w:cs="Tahoma"/>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paragraph" w:styleId="NormalWeb">
    <w:name w:val="Normal (Web)"/>
    <w:basedOn w:val="Normal"/>
    <w:qFormat/>
    <w:pPr>
      <w:spacing w:before="100" w:after="100"/>
    </w:pPr>
    <w:rPr>
      <w:rFonts w:ascii="Arial Unicode MS" w:hAnsi="Arial Unicode MS" w:eastAsia="Arial Unicode MS" w:cs="Arial Unicode MS"/>
      <w:color w:val="000000"/>
      <w:sz w:val="24"/>
    </w:rPr>
  </w:style>
  <w:style w:type="paragraph" w:styleId="BodyTextIndent">
    <w:name w:val="Body Text Indent"/>
    <w:basedOn w:val="Normal"/>
    <w:pPr>
      <w:ind w:hanging="0" w:start="-180" w:end="0"/>
      <w:jc w:val="center"/>
    </w:pPr>
    <w:rPr>
      <w:b/>
      <w:bCs/>
      <w:i/>
      <w:iCs/>
    </w:rPr>
  </w:style>
  <w:style w:type="paragraph" w:styleId="BodyTextIndent2">
    <w:name w:val="Body Text Indent 2"/>
    <w:basedOn w:val="Normal"/>
    <w:qFormat/>
    <w:pPr>
      <w:ind w:hanging="0" w:start="720" w:end="0"/>
    </w:pPr>
    <w:rPr>
      <w:rFonts w:eastAsia="Arial Unicode MS"/>
      <w:color w:val="000000"/>
      <w:sz w:val="16"/>
    </w:rPr>
  </w:style>
  <w:style w:type="paragraph" w:styleId="BodyTextIndent3">
    <w:name w:val="Body Text Indent 3"/>
    <w:basedOn w:val="Normal"/>
    <w:qFormat/>
    <w:pPr>
      <w:ind w:firstLine="60" w:start="720" w:end="0"/>
      <w:jc w:val="both"/>
    </w:pPr>
    <w:rPr>
      <w:rFonts w:eastAsia="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Cs w:val="20"/>
    </w:rPr>
  </w:style>
  <w:style w:type="paragraph" w:styleId="BlockText">
    <w:name w:val="Block Text"/>
    <w:basedOn w:val="Normal"/>
    <w:qFormat/>
    <w:pPr>
      <w:ind w:hanging="0" w:start="-360" w:end="-18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yperlink" Target="http://nrstg2p.djnr.com/cgi-bin/DJInteractive?cgi=WEB_FLAT_PAGE&amp;GJANum=944007578&amp;page=wrapper/index&amp;Area=" TargetMode="External"/><Relationship Id="rId8" Type="http://schemas.openxmlformats.org/officeDocument/2006/relationships/image" Target="media/image4.png"/><Relationship Id="rId9" Type="http://schemas.openxmlformats.org/officeDocument/2006/relationships/package" Target="embeddings/oleObject3.docx"/><Relationship Id="rId10" Type="http://schemas.openxmlformats.org/officeDocument/2006/relationships/image" Target="media/image5.wmf"/><Relationship Id="rId11" Type="http://schemas.openxmlformats.org/officeDocument/2006/relationships/package" Target="embeddings/oleObject4.docx"/><Relationship Id="rId12" Type="http://schemas.openxmlformats.org/officeDocument/2006/relationships/image" Target="media/image6.wmf"/><Relationship Id="rId13" Type="http://schemas.openxmlformats.org/officeDocument/2006/relationships/package" Target="embeddings/oleObject5.docx"/><Relationship Id="rId14" Type="http://schemas.openxmlformats.org/officeDocument/2006/relationships/image" Target="media/image7.wmf"/><Relationship Id="rId15" Type="http://schemas.openxmlformats.org/officeDocument/2006/relationships/hyperlink" Target="http://www.fastcompany.com/lead/lead_feature/maister.html" TargetMode="External"/><Relationship Id="rId16" Type="http://schemas.openxmlformats.org/officeDocument/2006/relationships/hyperlink" Target="http://centralohio.thesource.net/Files/ran950906.html" TargetMode="External"/><Relationship Id="rId17" Type="http://schemas.openxmlformats.org/officeDocument/2006/relationships/hyperlink" Target="http://www.fastcompany.com/ftalk/naumann.html" TargetMode="External"/><Relationship Id="rId18" Type="http://schemas.openxmlformats.org/officeDocument/2006/relationships/hyperlink" Target="http://www.careerjournal.com/recruiters/jungle/20010711-jungle.html" TargetMode="External"/><Relationship Id="rId19" Type="http://schemas.openxmlformats.org/officeDocument/2006/relationships/hyperlink" Target="http://www.gao.gov/new.items/d01926.pdf" TargetMode="External"/><Relationship Id="rId20" Type="http://schemas.openxmlformats.org/officeDocument/2006/relationships/hyperlink" Target="http://www.manchesterus.com/hr-failing.html" TargetMode="External"/><Relationship Id="rId21" Type="http://schemas.openxmlformats.org/officeDocument/2006/relationships/hyperlink" Target="http://dailynews.yahoo.com/h/ap/20010724/pl/us_britain_taxes_1.html"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2001-07-31T14:20:00Z</dcterms:created>
  <dc:creator>Norman Levine</dc:creator>
  <dc:description/>
  <dc:language>en-CA</dc:language>
  <cp:lastModifiedBy>Norman Levine</cp:lastModifiedBy>
  <cp:lastPrinted>2001-06-29T10:13:00Z</cp:lastPrinted>
  <dcterms:modified xsi:type="dcterms:W3CDTF">2001-08-01T20:05:00Z</dcterms:modified>
  <cp:revision>25</cp:revision>
  <dc:subject/>
  <dc:title/>
</cp:coreProperties>
</file>