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CTitle"/>
        <w:rPr/>
      </w:pPr>
      <w:r>
        <w:rPr/>
        <w:t>SULLIVAN &amp; CROMWELL</w:t>
      </w:r>
    </w:p>
    <w:p>
      <w:pPr>
        <w:pStyle w:val="Date"/>
        <w:rPr/>
      </w:pPr>
      <w:r>
        <w:rPr/>
        <w:t>December 19, 2000</w:t>
      </w:r>
    </w:p>
    <w:tbl>
      <w:tblPr>
        <w:tblW w:w="8640" w:type="dxa"/>
        <w:jc w:val="start"/>
        <w:tblInd w:w="0" w:type="dxa"/>
        <w:tblLayout w:type="fixed"/>
        <w:tblCellMar>
          <w:top w:w="0" w:type="dxa"/>
          <w:start w:w="0" w:type="dxa"/>
          <w:bottom w:w="0" w:type="dxa"/>
          <w:end w:w="0" w:type="dxa"/>
        </w:tblCellMar>
      </w:tblPr>
      <w:tblGrid>
        <w:gridCol w:w="2290"/>
        <w:gridCol w:w="187"/>
        <w:gridCol w:w="6163"/>
      </w:tblGrid>
      <w:tr>
        <w:trPr>
          <w:trHeight w:val="403" w:hRule="atLeast"/>
        </w:trPr>
        <w:tc>
          <w:tcPr>
            <w:tcW w:w="2290" w:type="dxa"/>
            <w:tcBorders/>
          </w:tcPr>
          <w:p>
            <w:pPr>
              <w:pStyle w:val="LeftColumn"/>
              <w:rPr/>
            </w:pPr>
            <w:r>
              <w:rPr/>
              <w:t>MEMORANDUM TO:</w:t>
            </w:r>
          </w:p>
        </w:tc>
        <w:tc>
          <w:tcPr>
            <w:tcW w:w="187" w:type="dxa"/>
            <w:tcBorders/>
          </w:tcPr>
          <w:p>
            <w:pPr>
              <w:pStyle w:val="Normal"/>
              <w:snapToGrid w:val="false"/>
              <w:rPr/>
            </w:pPr>
            <w:r>
              <w:rPr/>
            </w:r>
          </w:p>
        </w:tc>
        <w:tc>
          <w:tcPr>
            <w:tcW w:w="6163" w:type="dxa"/>
            <w:tcBorders/>
          </w:tcPr>
          <w:p>
            <w:pPr>
              <w:pStyle w:val="To"/>
              <w:spacing w:before="0" w:after="240"/>
              <w:rPr/>
            </w:pPr>
            <w:r>
              <w:rPr/>
              <w:t xml:space="preserve">Energy Group </w:t>
            </w:r>
          </w:p>
        </w:tc>
      </w:tr>
      <w:tr>
        <w:trPr>
          <w:trHeight w:val="403" w:hRule="atLeast"/>
        </w:trPr>
        <w:tc>
          <w:tcPr>
            <w:tcW w:w="2290" w:type="dxa"/>
            <w:tcBorders/>
          </w:tcPr>
          <w:p>
            <w:pPr>
              <w:pStyle w:val="LeftColumn"/>
              <w:rPr/>
            </w:pPr>
            <w:r>
              <w:rPr/>
              <w:t>FROM:</w:t>
            </w:r>
          </w:p>
        </w:tc>
        <w:tc>
          <w:tcPr>
            <w:tcW w:w="187" w:type="dxa"/>
            <w:tcBorders/>
          </w:tcPr>
          <w:p>
            <w:pPr>
              <w:pStyle w:val="Normal"/>
              <w:snapToGrid w:val="false"/>
              <w:rPr/>
            </w:pPr>
            <w:r>
              <w:rPr/>
            </w:r>
          </w:p>
        </w:tc>
        <w:tc>
          <w:tcPr>
            <w:tcW w:w="6163" w:type="dxa"/>
            <w:tcBorders/>
          </w:tcPr>
          <w:p>
            <w:pPr>
              <w:pStyle w:val="From"/>
              <w:spacing w:before="0" w:after="240"/>
              <w:rPr/>
            </w:pPr>
            <w:r>
              <w:rPr/>
              <w:t>Kenneth M. Raisler</w:t>
            </w:r>
          </w:p>
        </w:tc>
      </w:tr>
    </w:tbl>
    <w:p>
      <w:pPr>
        <w:pStyle w:val="Normal"/>
        <w:rPr>
          <w:sz w:val="6"/>
        </w:rPr>
      </w:pPr>
      <w:r>
        <w:rPr>
          <w:sz w:val="6"/>
        </w:rPr>
      </w:r>
    </w:p>
    <w:tbl>
      <w:tblPr>
        <w:tblW w:w="3591" w:type="dxa"/>
        <w:jc w:val="start"/>
        <w:tblInd w:w="0" w:type="dxa"/>
        <w:tblLayout w:type="fixed"/>
        <w:tblCellMar>
          <w:top w:w="0" w:type="dxa"/>
          <w:start w:w="0" w:type="dxa"/>
          <w:bottom w:w="0" w:type="dxa"/>
          <w:end w:w="0" w:type="dxa"/>
        </w:tblCellMar>
      </w:tblPr>
      <w:tblGrid>
        <w:gridCol w:w="2290"/>
        <w:gridCol w:w="187"/>
        <w:gridCol w:w="1114"/>
      </w:tblGrid>
      <w:tr>
        <w:trPr>
          <w:trHeight w:val="240" w:hRule="atLeast"/>
        </w:trPr>
        <w:tc>
          <w:tcPr>
            <w:tcW w:w="2290" w:type="dxa"/>
            <w:tcBorders/>
          </w:tcPr>
          <w:p>
            <w:pPr>
              <w:pStyle w:val="LeftColumn"/>
              <w:rPr/>
            </w:pPr>
            <w:r>
              <w:rPr/>
              <w:t>RE:</w:t>
            </w:r>
          </w:p>
        </w:tc>
        <w:tc>
          <w:tcPr>
            <w:tcW w:w="187" w:type="dxa"/>
            <w:tcBorders/>
          </w:tcPr>
          <w:p>
            <w:pPr>
              <w:pStyle w:val="Normal"/>
              <w:snapToGrid w:val="false"/>
              <w:rPr>
                <w:u w:val="single"/>
              </w:rPr>
            </w:pPr>
            <w:r>
              <w:rPr>
                <w:u w:val="single"/>
              </w:rPr>
            </w:r>
          </w:p>
        </w:tc>
        <w:tc>
          <w:tcPr>
            <w:tcW w:w="1114" w:type="dxa"/>
            <w:tcBorders>
              <w:bottom w:val="single" w:sz="4" w:space="0" w:color="000000"/>
            </w:tcBorders>
          </w:tcPr>
          <w:p>
            <w:pPr>
              <w:pStyle w:val="Subject"/>
              <w:rPr/>
            </w:pPr>
            <w:r>
              <w:rPr/>
              <w:t>H.R. 5660</w:t>
            </w:r>
          </w:p>
        </w:tc>
      </w:tr>
    </w:tbl>
    <w:p>
      <w:pPr>
        <w:pStyle w:val="Normal"/>
        <w:rPr/>
      </w:pPr>
      <w:r>
        <w:rPr/>
      </w:r>
    </w:p>
    <w:p>
      <w:pPr>
        <w:pStyle w:val="Normal"/>
        <w:rPr/>
      </w:pPr>
      <w:r>
        <w:rPr/>
      </w:r>
    </w:p>
    <w:p>
      <w:pPr>
        <w:pStyle w:val="BodyText"/>
        <w:jc w:val="both"/>
        <w:rPr/>
      </w:pPr>
      <w:r>
        <w:rPr/>
        <w:t>As previously reported, on December 15, 2000 the U.S. Senate and House of Representatives passed the Commodity Futures Modernization Act of 2000 (H.R. 5660) (the “Act”).  The Act, which reauthorizes the Commodity Futures Trading Commission for five years, is expected to be signed into law by the President this week.</w:t>
      </w:r>
    </w:p>
    <w:p>
      <w:pPr>
        <w:pStyle w:val="BodyText"/>
        <w:jc w:val="both"/>
        <w:rPr/>
      </w:pPr>
      <w:r>
        <w:rPr/>
        <w:t>The Act provides significant new legal certainty for transactions in exempt commodities.  Exempt commodities essentially include all physical commodities other than agricultural commodities including, for example, energy products, metals and bandwidth.  The Act provides different levels of CFTC jurisdiction depending upon whether the transaction is not entered into on a “trading facility” or is entered into on an “electronic trading facility”.</w:t>
      </w:r>
      <w:r>
        <w:rPr>
          <w:rStyle w:val="FootnoteCharacters"/>
          <w:rStyle w:val="FootnoteReference"/>
        </w:rPr>
        <w:footnoteReference w:customMarkFollows="1" w:id="2"/>
        <w:t>*</w:t>
      </w:r>
      <w:r>
        <w:rPr/>
        <w:t xml:space="preserve">  </w:t>
      </w:r>
    </w:p>
    <w:p>
      <w:pPr>
        <w:pStyle w:val="BodyText"/>
        <w:rPr>
          <w:u w:val="single"/>
        </w:rPr>
      </w:pPr>
      <w:r>
        <w:rPr>
          <w:u w:val="single"/>
        </w:rPr>
        <w:t>Not on A Trading Facility</w:t>
      </w:r>
    </w:p>
    <w:p>
      <w:pPr>
        <w:pStyle w:val="BodyText"/>
        <w:jc w:val="both"/>
        <w:rPr/>
      </w:pPr>
      <w:r>
        <w:rPr/>
        <w:t>The CFTC has limited jurisdiction with respect to any “contract, agreement or transaction in an exempt commodity” which is entered into between “eligible contract participants”</w:t>
      </w:r>
      <w:r>
        <w:rPr>
          <w:rStyle w:val="FootnoteCharacters"/>
          <w:rStyle w:val="FootnoteReference"/>
        </w:rPr>
        <w:footnoteReference w:customMarkFollows="1" w:id="3"/>
        <w:t>*</w:t>
      </w:r>
      <w:r>
        <w:rPr>
          <w:rStyle w:val="FootnoteCharacters"/>
        </w:rPr>
        <w:t>*</w:t>
      </w:r>
      <w:r>
        <w:rPr/>
        <w:t xml:space="preserve"> and is not entered into on a trading facility.  The CFTC retains antifraud authority.  Even that authority does not apply where both participants to the transaction are “eligible commercial entities”</w:t>
      </w:r>
      <w:r>
        <w:rPr>
          <w:rStyle w:val="FootnoteCharacters"/>
          <w:rStyle w:val="FootnoteReference"/>
        </w:rPr>
        <w:footnoteReference w:customMarkFollows="1" w:id="4"/>
        <w:t>*</w:t>
      </w:r>
      <w:r>
        <w:rPr>
          <w:rStyle w:val="FootnoteCharacters"/>
        </w:rPr>
        <w:t>**</w:t>
      </w:r>
      <w:r>
        <w:rPr/>
        <w:t xml:space="preserve"> (unless one of the entities is an instrumentality, department or an agency of a State or local governmental entity).   In addition, the CFTC retains antimanipulation authority.</w:t>
      </w:r>
    </w:p>
    <w:p>
      <w:pPr>
        <w:pStyle w:val="BodyText"/>
        <w:rPr>
          <w:u w:val="single"/>
        </w:rPr>
      </w:pPr>
      <w:r>
        <w:rPr>
          <w:u w:val="single"/>
        </w:rPr>
        <w:t>On an Electronic Trading Facility</w:t>
      </w:r>
    </w:p>
    <w:p>
      <w:pPr>
        <w:pStyle w:val="BodyText"/>
        <w:jc w:val="both"/>
        <w:rPr/>
      </w:pPr>
      <w:r>
        <w:rPr/>
        <w:t xml:space="preserve">The CFTC’s jurisdiction is specifically limited where an “agreement, contract, or transaction in an exempt commodity” is entered into on a principal-to-principal basis between eligible commercial entities and is executed or traded on an electronic trading facility.  The CFTC retains antifraud and antimanipulation authority and can, if it determines that the electronic trading facility performs a significant price discovery function, require the electronic trading facility to disseminate price, trading volume and other trading data.  </w:t>
      </w:r>
    </w:p>
    <w:p>
      <w:pPr>
        <w:pStyle w:val="BodyText"/>
        <w:jc w:val="both"/>
        <w:rPr/>
      </w:pPr>
      <w:r>
        <w:rPr/>
        <w:t>An electronic trading facility relying on this exemption does not need to seek prior Commission approval before commencing operations.  Instead, it must notify the CFTC of its intent to operate, including in that notice its name and address, what it intends to trade, and certification that its principals are fit, that the facility will comply with the conditions for exemption and that it will notify the Commission of material changes in information previously provided.  The electronic trading facility also must provide the CFTC with access to the facility’s trading protocols, provide such reports regarding executed transactions as the Commission may from time-to-time request, maintain records for five years and be subject to CFTC special calls.  The electronic trading facility also must transmit CFTC subpoenas to foreign persons using the facility.  If the foreign person refuses to comply with a CFTC subpoena, the CFTC may instruct the electronic trading facility to deny further access to its system to the foreign person.</w:t>
      </w:r>
    </w:p>
    <w:p>
      <w:pPr>
        <w:pStyle w:val="BodyText"/>
        <w:jc w:val="both"/>
        <w:rPr/>
      </w:pPr>
      <w:r>
        <w:rPr/>
        <w:t>With respect both to transactions not executed on a trading facility and transactions executed on an electronic trading facility, the Act provides broad exemptions from state and local gambling and bucket shop laws.  The Act also provides that no transaction between eligible contract participants will be void, unenforceable or subject to rescission under any provision of federal or state law based solely on the failure of the transaction to comply with the terms of the exemption.</w:t>
      </w:r>
    </w:p>
    <w:p>
      <w:pPr>
        <w:pStyle w:val="BodyText"/>
        <w:ind w:hanging="0" w:end="0"/>
        <w:jc w:val="center"/>
        <w:rPr/>
      </w:pPr>
      <w:r>
        <w:rPr/>
        <w:t>*</w:t>
        <w:tab/>
        <w:t>*</w:t>
        <w:tab/>
        <w:t>*</w:t>
      </w:r>
    </w:p>
    <w:p>
      <w:pPr>
        <w:pStyle w:val="BodyText"/>
        <w:jc w:val="both"/>
        <w:rPr/>
      </w:pPr>
      <w:r>
        <w:rPr/>
        <w:t>It is worth noting that while the Act broadly follows the recommendation of the President’s Working Group on Financial Markets (“PWG”), the legal certainty provided for physical commodities goes beyond the recommendations of the PWG.  Specifically, the PWG was not prepared to provide relief for physical commodity transactions on electronic trading facilities.  The relief provided represents a significant improvement on those recommendations and should allow important innovation and growth in this area without undue interference from the CFTC.</w:t>
      </w:r>
    </w:p>
    <w:p>
      <w:pPr>
        <w:pStyle w:val="BodyText"/>
        <w:jc w:val="both"/>
        <w:rPr/>
      </w:pPr>
      <w:r>
        <w:rPr/>
        <w:t>This summary memorandum necessarily does not detail every aspect of even these provisions of the Act.  For a broader description of other provisions of the Act, we will be preparing and circulating a memorandum in the near future.</w:t>
      </w:r>
    </w:p>
    <w:p>
      <w:pPr>
        <w:pStyle w:val="BodyText"/>
        <w:jc w:val="both"/>
        <w:rPr/>
      </w:pPr>
      <w:r>
        <w:rPr/>
      </w:r>
    </w:p>
    <w:p>
      <w:pPr>
        <w:pStyle w:val="Initials"/>
        <w:rPr/>
      </w:pPr>
      <w:r>
        <w:rPr/>
        <w:t>K.M.R.</w:t>
      </w:r>
    </w:p>
    <w:p>
      <w:pPr>
        <w:pStyle w:val="Normal"/>
        <w:rPr/>
      </w:pPr>
      <w:r>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584" w:footer="965" w:bottom="102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mdITC Bk BT">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7716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3.95pt;height:13.8pt;mso-wrap-distance-left:0pt;mso-wrap-distance-right:0pt;mso-wrap-distance-top:0pt;mso-wrap-distance-bottom:0pt;margin-top:0.05pt;mso-position-vertical-relative:text;margin-left:227.0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hanging="720" w:start="720" w:end="0"/>
        <w:jc w:val="both"/>
        <w:rPr/>
      </w:pPr>
      <w:r>
        <w:rPr>
          <w:rStyle w:val="FootnoteCharacters"/>
        </w:rPr>
        <w:t>*</w:t>
      </w:r>
      <w:r>
        <w:rPr/>
        <w:t xml:space="preserve"> </w:t>
      </w:r>
      <w:r>
        <w:rPr/>
        <w:tab/>
        <w:t xml:space="preserve">A “trading facility” is generally described as a facility where bids and offers may be executed between multiple participants.  Single dealer systems and similar systems that enable the participants to enter into bilateral transactions are not within the term “trading facility”.  An “electronic trading facility” is merely a trading facility that operates by means of an electronic or telecommunications network.  </w:t>
      </w:r>
    </w:p>
    <w:p>
      <w:pPr>
        <w:pStyle w:val="FootnoteText"/>
        <w:rPr/>
      </w:pPr>
      <w:r>
        <w:rPr/>
      </w:r>
    </w:p>
  </w:footnote>
  <w:footnote w:id="3">
    <w:p>
      <w:pPr>
        <w:pStyle w:val="FootnoteText"/>
        <w:ind w:hanging="720" w:start="720" w:end="0"/>
        <w:jc w:val="both"/>
        <w:rPr/>
      </w:pPr>
      <w:r>
        <w:rPr>
          <w:rStyle w:val="FootnoteCharacters"/>
        </w:rPr>
        <w:t>*</w:t>
      </w:r>
      <w:r>
        <w:rPr>
          <w:rStyle w:val="FootnoteCharacters"/>
        </w:rPr>
        <w:t>*</w:t>
      </w:r>
      <w:r>
        <w:rPr/>
        <w:t xml:space="preserve"> </w:t>
        <w:tab/>
        <w:t>Eligible contract participants are very similar to the eligible swap participant definition in the current Part 35 of the CFTC’s rules.  It has been expanded to include individual with (continued)  . . .$5 million in assets who enter into the transaction for risk management purposes (in contrast to the $10 million asset requirement for eligible swap participants).</w:t>
      </w:r>
    </w:p>
    <w:p>
      <w:pPr>
        <w:pStyle w:val="FootnoteText"/>
        <w:rPr/>
      </w:pPr>
      <w:r>
        <w:rPr/>
      </w:r>
    </w:p>
  </w:footnote>
  <w:footnote w:id="4">
    <w:p>
      <w:pPr>
        <w:pStyle w:val="FootnoteText"/>
        <w:ind w:hanging="720" w:start="720" w:end="0"/>
        <w:jc w:val="both"/>
        <w:rPr/>
      </w:pPr>
      <w:r>
        <w:rPr>
          <w:rStyle w:val="FootnoteCharacters"/>
        </w:rPr>
        <w:t>*</w:t>
      </w:r>
      <w:r>
        <w:rPr>
          <w:rStyle w:val="FootnoteCharacters"/>
        </w:rPr>
        <w:t>**</w:t>
      </w:r>
      <w:r>
        <w:rPr/>
        <w:t xml:space="preserve"> </w:t>
        <w:tab/>
        <w:t>“Eligible commercial entities” include most eligible contract participants (not investment companies, commodity pools, ERISA plans or individuals) who, in connection with their business, can make or take delivery of the underlying commodity; incur risk, in addition to price risk, related to the commodity; or provides risk management, hedging or market making services in the commodity or derivative agreements in the commodity.  Certain liquidity providers also are eligible commercial entities, including specified categories of hedge funds and collective investment vehicles.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raftLi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b/>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Normal"/>
    <w:qFormat/>
    <w:pPr>
      <w:numPr>
        <w:ilvl w:val="2"/>
        <w:numId w:val="1"/>
      </w:numPr>
      <w:spacing w:before="0" w:after="240"/>
      <w:outlineLvl w:val="2"/>
    </w:pPr>
    <w:rPr/>
  </w:style>
  <w:style w:type="paragraph" w:styleId="Heading4">
    <w:name w:val="heading 4"/>
    <w:basedOn w:val="Normal"/>
    <w:next w:val="Normal"/>
    <w:qFormat/>
    <w:pPr>
      <w:numPr>
        <w:ilvl w:val="3"/>
        <w:numId w:val="1"/>
      </w:numPr>
      <w:spacing w:before="0" w:after="240"/>
      <w:outlineLvl w:val="3"/>
    </w:pPr>
    <w:rPr/>
  </w:style>
  <w:style w:type="paragraph" w:styleId="Heading5">
    <w:name w:val="heading 5"/>
    <w:basedOn w:val="Normal"/>
    <w:next w:val="Normal"/>
    <w:qFormat/>
    <w:pPr>
      <w:numPr>
        <w:ilvl w:val="4"/>
        <w:numId w:val="1"/>
      </w:numPr>
      <w:spacing w:before="0" w:after="240"/>
      <w:outlineLvl w:val="4"/>
    </w:pPr>
    <w:rPr/>
  </w:style>
  <w:style w:type="paragraph" w:styleId="Heading6">
    <w:name w:val="heading 6"/>
    <w:basedOn w:val="Normal"/>
    <w:next w:val="Normal"/>
    <w:qFormat/>
    <w:pPr>
      <w:numPr>
        <w:ilvl w:val="5"/>
        <w:numId w:val="1"/>
      </w:numPr>
      <w:spacing w:before="0" w:after="240"/>
      <w:outlineLvl w:val="5"/>
    </w:pPr>
    <w:rPr/>
  </w:style>
  <w:style w:type="paragraph" w:styleId="Heading7">
    <w:name w:val="heading 7"/>
    <w:basedOn w:val="Normal"/>
    <w:next w:val="Normal"/>
    <w:qFormat/>
    <w:pPr>
      <w:numPr>
        <w:ilvl w:val="6"/>
        <w:numId w:val="1"/>
      </w:numPr>
      <w:spacing w:before="0" w:after="240"/>
      <w:outlineLvl w:val="6"/>
    </w:pPr>
    <w:rPr/>
  </w:style>
  <w:style w:type="paragraph" w:styleId="Heading8">
    <w:name w:val="heading 8"/>
    <w:basedOn w:val="Normal"/>
    <w:next w:val="Normal"/>
    <w:qFormat/>
    <w:pPr>
      <w:numPr>
        <w:ilvl w:val="7"/>
        <w:numId w:val="1"/>
      </w:numPr>
      <w:spacing w:before="0" w:after="240"/>
      <w:outlineLvl w:val="7"/>
    </w:pPr>
    <w:rPr/>
  </w:style>
  <w:style w:type="paragraph" w:styleId="Heading9">
    <w:name w:val="heading 9"/>
    <w:basedOn w:val="Normal"/>
    <w:next w:val="Normal"/>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0" w:after="240"/>
      <w:jc w:val="center"/>
    </w:pPr>
    <w:rPr>
      <w:caps/>
    </w:rPr>
  </w:style>
  <w:style w:type="paragraph" w:styleId="BodyText">
    <w:name w:val="Body Text"/>
    <w:basedOn w:val="Normal"/>
    <w:pPr>
      <w:spacing w:lineRule="auto" w:line="480"/>
      <w:ind w:firstLine="1440" w:start="0" w:end="0"/>
    </w:pPr>
    <w:rPr/>
  </w:style>
  <w:style w:type="paragraph" w:styleId="List">
    <w:name w:val="List"/>
    <w:basedOn w:val="Normal"/>
    <w:pPr>
      <w:spacing w:before="0" w:after="240"/>
      <w:ind w:hanging="720" w:start="720" w:end="0"/>
    </w:pPr>
    <w:rPr/>
  </w:style>
  <w:style w:type="paragraph" w:styleId="Caption">
    <w:name w:val="caption"/>
    <w:basedOn w:val="Normal"/>
    <w:next w:val="Normal"/>
    <w:qFormat/>
    <w:pPr>
      <w:spacing w:before="120" w:after="120"/>
    </w:pPr>
    <w:rPr>
      <w:sz w:val="20"/>
    </w:rPr>
  </w:style>
  <w:style w:type="paragraph" w:styleId="Index">
    <w:name w:val="Index"/>
    <w:basedOn w:val="Normal"/>
    <w:qFormat/>
    <w:pPr>
      <w:suppressLineNumbers/>
    </w:pPr>
    <w:rPr>
      <w:rFonts w:cs="NotoSans NF"/>
    </w:rPr>
  </w:style>
  <w:style w:type="paragraph" w:styleId="SCTitle">
    <w:name w:val="S&amp;C Title"/>
    <w:basedOn w:val="Normal"/>
    <w:qFormat/>
    <w:pPr>
      <w:spacing w:before="0" w:after="360"/>
      <w:ind w:hanging="0" w:start="-963" w:end="0"/>
    </w:pPr>
    <w:rPr>
      <w:rFonts w:ascii="GarmdITC Bk BT" w:hAnsi="GarmdITC Bk BT" w:cs="GarmdITC Bk BT"/>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ate">
    <w:name w:val="Date"/>
    <w:basedOn w:val="Normal"/>
    <w:next w:val="Normal"/>
    <w:qFormat/>
    <w:pPr>
      <w:spacing w:before="240" w:after="480"/>
      <w:ind w:hanging="0" w:start="5760" w:end="0"/>
    </w:pPr>
    <w:rPr/>
  </w:style>
  <w:style w:type="paragraph" w:styleId="To">
    <w:name w:val="To"/>
    <w:basedOn w:val="Normal"/>
    <w:qFormat/>
    <w:pPr>
      <w:spacing w:before="0" w:after="240"/>
    </w:pPr>
    <w:rPr/>
  </w:style>
  <w:style w:type="paragraph" w:styleId="Company">
    <w:name w:val="Company"/>
    <w:basedOn w:val="Normal"/>
    <w:qFormat/>
    <w:pPr>
      <w:spacing w:before="0" w:after="240"/>
    </w:pPr>
    <w:rPr/>
  </w:style>
  <w:style w:type="paragraph" w:styleId="From">
    <w:name w:val="From"/>
    <w:basedOn w:val="Normal"/>
    <w:qFormat/>
    <w:pPr/>
    <w:rPr/>
  </w:style>
  <w:style w:type="paragraph" w:styleId="Subject">
    <w:name w:val="Subject"/>
    <w:basedOn w:val="Normal"/>
    <w:qFormat/>
    <w:pPr/>
    <w:rPr/>
  </w:style>
  <w:style w:type="paragraph" w:styleId="Initials">
    <w:name w:val="Initials"/>
    <w:basedOn w:val="Normal"/>
    <w:qFormat/>
    <w:pPr>
      <w:spacing w:before="0" w:after="240"/>
      <w:ind w:hanging="0" w:start="5760" w:end="0"/>
    </w:pPr>
    <w:rPr/>
  </w:style>
  <w:style w:type="paragraph" w:styleId="cc">
    <w:name w:val="cc"/>
    <w:basedOn w:val="Normal"/>
    <w:qFormat/>
    <w:pPr>
      <w:spacing w:before="0" w:after="240"/>
      <w:ind w:hanging="720" w:start="720" w:end="0"/>
    </w:pPr>
    <w:rPr/>
  </w:style>
  <w:style w:type="paragraph" w:styleId="bcc">
    <w:name w:val="bcc"/>
    <w:basedOn w:val="Normal"/>
    <w:qFormat/>
    <w:pPr>
      <w:spacing w:before="0" w:after="240"/>
      <w:ind w:hanging="720" w:start="720" w:end="0"/>
    </w:pPr>
    <w:rPr/>
  </w:style>
  <w:style w:type="paragraph" w:styleId="LeftColumn">
    <w:name w:val="LeftColumn"/>
    <w:basedOn w:val="Normal"/>
    <w:qFormat/>
    <w:pPr>
      <w:jc w:val="end"/>
    </w:pPr>
    <w:rPr/>
  </w:style>
  <w:style w:type="paragraph" w:styleId="Attachments">
    <w:name w:val="Attachments"/>
    <w:basedOn w:val="Normal"/>
    <w:qFormat/>
    <w:pPr/>
    <w:rPr/>
  </w:style>
  <w:style w:type="paragraph" w:styleId="DeliveryMethod">
    <w:name w:val="DeliveryMethod"/>
    <w:basedOn w:val="Normal"/>
    <w:qFormat/>
    <w:pPr>
      <w:spacing w:before="0" w:after="240"/>
    </w:pPr>
    <w:rPr>
      <w:u w:val="single"/>
    </w:rPr>
  </w:style>
  <w:style w:type="paragraph" w:styleId="DraftLine">
    <w:name w:val="DraftLine"/>
    <w:basedOn w:val="Normal"/>
    <w:qFormat/>
    <w:pPr>
      <w:jc w:val="end"/>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before="0" w:after="240"/>
    </w:pPr>
    <w:rPr/>
  </w:style>
  <w:style w:type="paragraph" w:styleId="BodyText3">
    <w:name w:val="Body Text 3"/>
    <w:basedOn w:val="Normal"/>
    <w:qFormat/>
    <w:pPr>
      <w:spacing w:before="0" w:after="240"/>
      <w:ind w:firstLine="720" w:start="720" w:end="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Normal"/>
    <w:qFormat/>
    <w:pPr>
      <w:spacing w:before="0" w:after="240"/>
      <w:ind w:firstLine="720" w:start="0" w:end="0"/>
    </w:pPr>
    <w:rPr/>
  </w:style>
  <w:style w:type="paragraph" w:styleId="BodyTextFirstIndent">
    <w:name w:val="Body Text First Indent"/>
    <w:basedOn w:val="Normal"/>
    <w:qFormat/>
    <w:pPr>
      <w:spacing w:before="0" w:after="240"/>
      <w:ind w:firstLine="1440" w:start="0" w:end="0"/>
    </w:pPr>
    <w:rPr/>
  </w:style>
  <w:style w:type="paragraph" w:styleId="BodyTextIndent2">
    <w:name w:val="Body Text Indent 2"/>
    <w:basedOn w:val="Normal"/>
    <w:qFormat/>
    <w:pPr>
      <w:spacing w:before="0" w:after="240"/>
      <w:ind w:hanging="0" w:start="720" w:end="0"/>
    </w:pPr>
    <w:rPr/>
  </w:style>
  <w:style w:type="paragraph" w:styleId="BodyTextIndent3">
    <w:name w:val="Body Text Indent 3"/>
    <w:basedOn w:val="Normal"/>
    <w:qFormat/>
    <w:pPr>
      <w:spacing w:before="0" w:after="240"/>
      <w:ind w:hanging="0" w:start="720" w:end="0"/>
    </w:pPr>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ocumentMap">
    <w:name w:val="Document Map"/>
    <w:basedOn w:val="Normal"/>
    <w:qFormat/>
    <w:pPr>
      <w:shd w:fill="000080" w:val="clear"/>
      <w:jc w:val="both"/>
    </w:pPr>
    <w:rPr>
      <w:rFonts w:ascii="Tahoma" w:hAnsi="Tahoma" w:cs="Tahoma"/>
      <w:sz w:val="20"/>
    </w:rPr>
  </w:style>
  <w:style w:type="paragraph" w:styleId="Draft">
    <w:name w:val="Draft"/>
    <w:basedOn w:val="Normal"/>
    <w:qFormat/>
    <w:pPr>
      <w:jc w:val="end"/>
    </w:pPr>
    <w:rPr/>
  </w:style>
  <w:style w:type="paragraph" w:styleId="EndnoteText">
    <w:name w:val="endnote text"/>
    <w:basedOn w:val="Normal"/>
    <w:pPr/>
    <w:rPr>
      <w:sz w:val="20"/>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Index1">
    <w:name w:val="index 1"/>
    <w:basedOn w:val="Normal"/>
    <w:pPr>
      <w:spacing w:before="0" w:after="240"/>
      <w:ind w:hanging="720" w:start="720" w:end="0"/>
    </w:pPr>
    <w:rPr/>
  </w:style>
  <w:style w:type="paragraph" w:styleId="Index2">
    <w:name w:val="index 2"/>
    <w:basedOn w:val="Normal"/>
    <w:pPr>
      <w:spacing w:before="0" w:after="240"/>
      <w:ind w:hanging="720" w:start="1440" w:end="0"/>
    </w:pPr>
    <w:rPr/>
  </w:style>
  <w:style w:type="paragraph" w:styleId="Index3">
    <w:name w:val="index 3"/>
    <w:basedOn w:val="Normal"/>
    <w:pPr>
      <w:spacing w:before="0" w:after="240"/>
      <w:ind w:hanging="720" w:start="2160" w:end="0"/>
    </w:pPr>
    <w:rPr/>
  </w:style>
  <w:style w:type="paragraph" w:styleId="Index4">
    <w:name w:val="Index 4"/>
    <w:basedOn w:val="Normal"/>
    <w:qFormat/>
    <w:pPr>
      <w:spacing w:before="0" w:after="240"/>
      <w:ind w:hanging="720" w:start="2880" w:end="0"/>
    </w:pPr>
    <w:rPr/>
  </w:style>
  <w:style w:type="paragraph" w:styleId="Index5">
    <w:name w:val="Index 5"/>
    <w:basedOn w:val="Normal"/>
    <w:qFormat/>
    <w:pPr>
      <w:spacing w:before="0" w:after="240"/>
      <w:ind w:hanging="720" w:start="3600" w:end="0"/>
    </w:pPr>
    <w:rPr/>
  </w:style>
  <w:style w:type="paragraph" w:styleId="Index6">
    <w:name w:val="Index 6"/>
    <w:basedOn w:val="Normal"/>
    <w:qFormat/>
    <w:pPr>
      <w:spacing w:before="0" w:after="240"/>
      <w:ind w:hanging="720" w:start="3600" w:end="0"/>
    </w:pPr>
    <w:rPr/>
  </w:style>
  <w:style w:type="paragraph" w:styleId="Index7">
    <w:name w:val="Index 7"/>
    <w:basedOn w:val="Normal"/>
    <w:qFormat/>
    <w:pPr>
      <w:spacing w:before="0" w:after="240"/>
      <w:ind w:hanging="720" w:start="4320" w:end="0"/>
    </w:pPr>
    <w:rPr/>
  </w:style>
  <w:style w:type="paragraph" w:styleId="Index8">
    <w:name w:val="Index 8"/>
    <w:basedOn w:val="Normal"/>
    <w:qFormat/>
    <w:pPr>
      <w:spacing w:before="0" w:after="240"/>
      <w:ind w:hanging="720" w:start="5040" w:end="0"/>
    </w:pPr>
    <w:rPr/>
  </w:style>
  <w:style w:type="paragraph" w:styleId="Index9">
    <w:name w:val="Index 9"/>
    <w:basedOn w:val="Normal"/>
    <w:qFormat/>
    <w:pPr>
      <w:spacing w:before="0" w:after="240"/>
      <w:ind w:hanging="720" w:start="5760" w:end="0"/>
    </w:pPr>
    <w:rPr/>
  </w:style>
  <w:style w:type="paragraph" w:styleId="IndexHeading">
    <w:name w:val="index heading"/>
    <w:basedOn w:val="Normal"/>
    <w:next w:val="Index1"/>
    <w:pPr>
      <w:spacing w:before="0" w:after="240"/>
    </w:pPr>
    <w:rPr/>
  </w:style>
  <w:style w:type="paragraph" w:styleId="ListBullet2">
    <w:name w:val="List Bullet 2"/>
    <w:basedOn w:val="List"/>
    <w:pPr>
      <w:spacing w:before="0" w:after="120"/>
      <w:ind w:hanging="360" w:start="720"/>
    </w:pPr>
    <w:rPr/>
  </w:style>
  <w:style w:type="paragraph" w:styleId="WW-List2">
    <w:name w:val="WW-List 2"/>
    <w:basedOn w:val="Normal"/>
    <w:qFormat/>
    <w:pPr>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spacing w:before="0" w:after="240"/>
      <w:ind w:hanging="720" w:start="3600" w:end="0"/>
    </w:pPr>
    <w:rPr/>
  </w:style>
  <w:style w:type="paragraph" w:styleId="ListBullet21">
    <w:name w:val="List Bullet 21"/>
    <w:basedOn w:val="Normal"/>
    <w:qFormat/>
    <w:pPr>
      <w:numPr>
        <w:ilvl w:val="0"/>
        <w:numId w:val="9"/>
      </w:numPr>
      <w:tabs>
        <w:tab w:val="clear" w:pos="720"/>
        <w:tab w:val="left" w:pos="1440" w:leader="none"/>
      </w:tabs>
      <w:spacing w:before="0" w:after="240"/>
      <w:ind w:hanging="720" w:start="1440" w:end="0"/>
    </w:pPr>
    <w:rPr/>
  </w:style>
  <w:style w:type="paragraph" w:styleId="ListBullet31">
    <w:name w:val="List Bullet 31"/>
    <w:basedOn w:val="Normal"/>
    <w:qFormat/>
    <w:pPr>
      <w:numPr>
        <w:ilvl w:val="0"/>
        <w:numId w:val="8"/>
      </w:numPr>
      <w:tabs>
        <w:tab w:val="clear" w:pos="720"/>
        <w:tab w:val="left" w:pos="2160" w:leader="none"/>
      </w:tabs>
      <w:spacing w:before="0" w:after="240"/>
      <w:ind w:hanging="720" w:start="2160" w:end="0"/>
    </w:pPr>
    <w:rPr/>
  </w:style>
  <w:style w:type="paragraph" w:styleId="ListBullet41">
    <w:name w:val="List Bullet 41"/>
    <w:basedOn w:val="Normal"/>
    <w:qFormat/>
    <w:pPr>
      <w:numPr>
        <w:ilvl w:val="0"/>
        <w:numId w:val="7"/>
      </w:numPr>
      <w:tabs>
        <w:tab w:val="clear" w:pos="720"/>
        <w:tab w:val="left" w:pos="2880" w:leader="none"/>
      </w:tabs>
      <w:spacing w:before="0" w:after="240"/>
      <w:ind w:hanging="720" w:start="2880" w:end="0"/>
    </w:pPr>
    <w:rPr/>
  </w:style>
  <w:style w:type="paragraph" w:styleId="ListBullet51">
    <w:name w:val="List Bullet 51"/>
    <w:basedOn w:val="Normal"/>
    <w:qFormat/>
    <w:pPr>
      <w:numPr>
        <w:ilvl w:val="0"/>
        <w:numId w:val="6"/>
      </w:numPr>
      <w:tabs>
        <w:tab w:val="clear" w:pos="720"/>
        <w:tab w:val="left" w:pos="3600" w:leader="none"/>
      </w:tabs>
      <w:spacing w:before="0" w:after="240"/>
      <w:ind w:hanging="720" w:start="3600" w:end="0"/>
    </w:pPr>
    <w:rPr/>
  </w:style>
  <w:style w:type="paragraph" w:styleId="ListBullet">
    <w:name w:val="List Bullet"/>
    <w:basedOn w:val="Normal"/>
    <w:qFormat/>
    <w:pPr>
      <w:numPr>
        <w:ilvl w:val="0"/>
        <w:numId w:val="11"/>
      </w:numPr>
      <w:tabs>
        <w:tab w:val="clear" w:pos="720"/>
      </w:tabs>
      <w:spacing w:before="0" w:after="240"/>
      <w:ind w:hanging="720" w:start="72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440" w:end="0"/>
    </w:pPr>
    <w:rPr/>
  </w:style>
  <w:style w:type="paragraph" w:styleId="ListContinue4">
    <w:name w:val="List Continue 4"/>
    <w:basedOn w:val="Normal"/>
    <w:qFormat/>
    <w:pPr>
      <w:spacing w:before="0" w:after="240"/>
      <w:ind w:hanging="0" w:start="2160" w:end="0"/>
    </w:pPr>
    <w:rPr/>
  </w:style>
  <w:style w:type="paragraph" w:styleId="ListContinue5">
    <w:name w:val="List Continue 5"/>
    <w:basedOn w:val="Normal"/>
    <w:qFormat/>
    <w:pPr>
      <w:spacing w:before="0" w:after="240"/>
      <w:ind w:hanging="0" w:start="2880" w:end="0"/>
    </w:pPr>
    <w:rPr/>
  </w:style>
  <w:style w:type="paragraph" w:styleId="ListContinue">
    <w:name w:val="List Continue"/>
    <w:basedOn w:val="Normal"/>
    <w:qFormat/>
    <w:pPr>
      <w:spacing w:before="0" w:after="240"/>
    </w:pPr>
    <w:rPr/>
  </w:style>
  <w:style w:type="paragraph" w:styleId="ListNumber2">
    <w:name w:val="List Number 2"/>
    <w:basedOn w:val="Normal"/>
    <w:qFormat/>
    <w:pPr>
      <w:numPr>
        <w:ilvl w:val="0"/>
        <w:numId w:val="5"/>
      </w:numPr>
      <w:tabs>
        <w:tab w:val="clear" w:pos="720"/>
        <w:tab w:val="left" w:pos="1440" w:leader="none"/>
      </w:tabs>
      <w:spacing w:before="0" w:after="240"/>
      <w:ind w:hanging="720" w:start="1440" w:end="0"/>
    </w:pPr>
    <w:rPr/>
  </w:style>
  <w:style w:type="paragraph" w:styleId="ListNumber3">
    <w:name w:val="List Number 3"/>
    <w:basedOn w:val="Normal"/>
    <w:qFormat/>
    <w:pPr>
      <w:numPr>
        <w:ilvl w:val="0"/>
        <w:numId w:val="4"/>
      </w:numPr>
      <w:tabs>
        <w:tab w:val="clear" w:pos="720"/>
        <w:tab w:val="left" w:pos="2160" w:leader="none"/>
      </w:tabs>
      <w:spacing w:before="0" w:after="240"/>
      <w:ind w:hanging="720" w:start="2160" w:end="0"/>
    </w:pPr>
    <w:rPr/>
  </w:style>
  <w:style w:type="paragraph" w:styleId="ListNumber4">
    <w:name w:val="List Number 4"/>
    <w:basedOn w:val="Normal"/>
    <w:qFormat/>
    <w:pPr>
      <w:numPr>
        <w:ilvl w:val="0"/>
        <w:numId w:val="3"/>
      </w:numPr>
      <w:tabs>
        <w:tab w:val="clear" w:pos="720"/>
        <w:tab w:val="left" w:pos="2880" w:leader="none"/>
      </w:tabs>
      <w:spacing w:before="0" w:after="240"/>
      <w:ind w:hanging="720" w:start="2880" w:end="0"/>
    </w:pPr>
    <w:rPr/>
  </w:style>
  <w:style w:type="paragraph" w:styleId="ListNumber5">
    <w:name w:val="List Number 5"/>
    <w:basedOn w:val="Normal"/>
    <w:qFormat/>
    <w:pPr>
      <w:numPr>
        <w:ilvl w:val="0"/>
        <w:numId w:val="2"/>
      </w:numPr>
      <w:tabs>
        <w:tab w:val="clear" w:pos="720"/>
        <w:tab w:val="left" w:pos="3600" w:leader="none"/>
      </w:tabs>
      <w:spacing w:before="0" w:after="240"/>
      <w:ind w:hanging="720" w:start="3600" w:end="0"/>
    </w:pPr>
    <w:rPr/>
  </w:style>
  <w:style w:type="paragraph" w:styleId="ListNumber">
    <w:name w:val="List Number"/>
    <w:basedOn w:val="Normal"/>
    <w:qFormat/>
    <w:pPr>
      <w:numPr>
        <w:ilvl w:val="0"/>
        <w:numId w:val="10"/>
      </w:numPr>
      <w:tabs>
        <w:tab w:val="left" w:pos="720" w:leader="none"/>
      </w:tabs>
      <w:spacing w:before="0" w:after="240"/>
      <w:ind w:hanging="720" w:start="7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jc w:val="both"/>
    </w:pPr>
    <w:rPr>
      <w:rFonts w:ascii="Arial" w:hAnsi="Arial" w:cs="Arial"/>
      <w:sz w:val="20"/>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240"/>
      <w:jc w:val="center"/>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ableText">
    <w:name w:val="Table Text"/>
    <w:basedOn w:val="Normal"/>
    <w:qFormat/>
    <w:pPr/>
    <w:rPr/>
  </w:style>
  <w:style w:type="paragraph" w:styleId="TOAHeading">
    <w:name w:val="TOA Heading"/>
    <w:basedOn w:val="Normal"/>
    <w:next w:val="Normal"/>
    <w:qFormat/>
    <w:pPr>
      <w:spacing w:before="0" w:after="240"/>
    </w:pPr>
    <w:rPr>
      <w:b/>
    </w:rPr>
  </w:style>
  <w:style w:type="paragraph" w:styleId="TOC1">
    <w:name w:val="toc 1"/>
    <w:basedOn w:val="Normal"/>
    <w:next w:val="Normal"/>
    <w:pPr>
      <w:tabs>
        <w:tab w:val="clear" w:pos="720"/>
        <w:tab w:val="right" w:pos="4147" w:leader="dot"/>
      </w:tabs>
      <w:ind w:hanging="0" w:start="0" w:end="432"/>
    </w:pPr>
    <w:rPr/>
  </w:style>
  <w:style w:type="paragraph" w:styleId="TOC2">
    <w:name w:val="toc 2"/>
    <w:basedOn w:val="Normal"/>
    <w:next w:val="Normal"/>
    <w:pPr>
      <w:tabs>
        <w:tab w:val="left" w:pos="720" w:leader="none"/>
        <w:tab w:val="left" w:pos="1440" w:leader="none"/>
        <w:tab w:val="right" w:pos="8640" w:leader="dot"/>
      </w:tabs>
      <w:ind w:hanging="0" w:start="720" w:end="720"/>
    </w:pPr>
    <w:rPr>
      <w:color w:val="000000"/>
    </w:rPr>
  </w:style>
  <w:style w:type="paragraph" w:styleId="TOC3">
    <w:name w:val="toc 3"/>
    <w:basedOn w:val="Normal"/>
    <w:next w:val="Normal"/>
    <w:pPr>
      <w:ind w:hanging="0" w:start="1440" w:end="0"/>
    </w:pPr>
    <w:rPr/>
  </w:style>
  <w:style w:type="paragraph" w:styleId="TOC4">
    <w:name w:val="toc 4"/>
    <w:basedOn w:val="Normal"/>
    <w:next w:val="Normal"/>
    <w:pPr>
      <w:ind w:hanging="0" w:start="2160" w:end="0"/>
    </w:pPr>
    <w:rPr/>
  </w:style>
  <w:style w:type="paragraph" w:styleId="TOC5">
    <w:name w:val="toc 5"/>
    <w:basedOn w:val="Normal"/>
    <w:next w:val="Normal"/>
    <w:pPr>
      <w:ind w:hanging="0" w:start="2880" w:end="0"/>
    </w:pPr>
    <w:rPr/>
  </w:style>
  <w:style w:type="paragraph" w:styleId="TOC6">
    <w:name w:val="toc 6"/>
    <w:basedOn w:val="Normal"/>
    <w:next w:val="Normal"/>
    <w:pPr>
      <w:ind w:hanging="0" w:start="3600" w:end="0"/>
    </w:pPr>
    <w:rPr/>
  </w:style>
  <w:style w:type="paragraph" w:styleId="TOC7">
    <w:name w:val="toc 7"/>
    <w:basedOn w:val="Normal"/>
    <w:next w:val="Normal"/>
    <w:pPr>
      <w:ind w:hanging="0" w:start="4320" w:end="0"/>
    </w:pPr>
    <w:rPr/>
  </w:style>
  <w:style w:type="paragraph" w:styleId="TOC8">
    <w:name w:val="toc 8"/>
    <w:basedOn w:val="Normal"/>
    <w:next w:val="Normal"/>
    <w:pPr>
      <w:ind w:hanging="0" w:start="5040" w:end="0"/>
    </w:pPr>
    <w:rPr/>
  </w:style>
  <w:style w:type="paragraph" w:styleId="TOC9">
    <w:name w:val="toc 9"/>
    <w:basedOn w:val="Normal"/>
    <w:next w:val="Normal"/>
    <w:pPr>
      <w:ind w:hanging="0" w:start="5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S&amp;C 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2000-12-19T18:20:00Z</dcterms:created>
  <dc:creator>For Help Call PC Support, x 4277</dc:creator>
  <dc:description/>
  <dc:language>en-CA</dc:language>
  <cp:lastModifiedBy>For Help Call PC Support, x 4277</cp:lastModifiedBy>
  <cp:lastPrinted>2000-12-19T15:36:00Z</cp:lastPrinted>
  <dcterms:modified xsi:type="dcterms:W3CDTF">2000-12-19T18:20:00Z</dcterms:modified>
  <cp:revision>2</cp:revision>
  <dc:subject/>
  <dc:title>SULLIVAN &amp; CROMWELL</dc:title>
</cp:coreProperties>
</file>