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G-SingleSp"/>
        <w:jc w:val="center"/>
        <w:rPr>
          <w:b/>
          <w:sz w:val="20"/>
        </w:rPr>
      </w:pPr>
      <w:r>
        <w:rPr>
          <w:b/>
          <w:sz w:val="20"/>
        </w:rPr>
        <w:t xml:space="preserve">Comparison of Legal Certainty Provisions of the </w:t>
        <w:br/>
        <w:t>Commodity Futures Modernization Act of 2000*</w:t>
      </w:r>
    </w:p>
    <w:p>
      <w:pPr>
        <w:pStyle w:val="CG-SingleSp"/>
        <w:jc w:val="center"/>
        <w:rPr>
          <w:sz w:val="20"/>
        </w:rPr>
      </w:pPr>
      <w:r>
        <w:rPr>
          <w:sz w:val="20"/>
        </w:rPr>
        <w:t xml:space="preserve">As Reported by the Committee on Agriculture, </w:t>
        <w:br/>
        <w:t>Committee on Banking and Financial Services</w:t>
        <w:br/>
        <w:t>and Committee on Commerce of the House of Representatives</w:t>
      </w:r>
      <w:r>
        <w:br w:type="page"/>
      </w:r>
    </w:p>
    <w:tbl>
      <w:tblPr>
        <w:tblW w:w="17478" w:type="dxa"/>
        <w:jc w:val="start"/>
        <w:tblInd w:w="0" w:type="dxa"/>
        <w:tblLayout w:type="fixed"/>
        <w:tblCellMar>
          <w:top w:w="0" w:type="dxa"/>
          <w:start w:w="108" w:type="dxa"/>
          <w:bottom w:w="0" w:type="dxa"/>
          <w:end w:w="108" w:type="dxa"/>
        </w:tblCellMar>
      </w:tblPr>
      <w:tblGrid>
        <w:gridCol w:w="2448"/>
        <w:gridCol w:w="3757"/>
        <w:gridCol w:w="3758"/>
        <w:gridCol w:w="3757"/>
        <w:gridCol w:w="3758"/>
      </w:tblGrid>
      <w:tr>
        <w:trPr/>
        <w:tc>
          <w:tcPr>
            <w:tcW w:w="2448" w:type="dxa"/>
            <w:tcBorders>
              <w:top w:val="single" w:sz="4" w:space="0" w:color="000000"/>
              <w:start w:val="single" w:sz="4" w:space="0" w:color="000000"/>
              <w:bottom w:val="single" w:sz="4" w:space="0" w:color="000000"/>
              <w:end w:val="single" w:sz="4" w:space="0" w:color="000000"/>
            </w:tcBorders>
          </w:tcPr>
          <w:p>
            <w:pPr>
              <w:pStyle w:val="CG-SingleSp"/>
              <w:pageBreakBefore/>
              <w:spacing w:before="0" w:after="240"/>
              <w:jc w:val="center"/>
              <w:rPr/>
            </w:pPr>
            <w:r>
              <w:rPr>
                <w:sz w:val="20"/>
              </w:rPr>
              <w:br/>
            </w:r>
            <w:r>
              <w:rPr>
                <w:sz w:val="20"/>
                <w:u w:val="single"/>
              </w:rPr>
              <w:t>Provision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jc w:val="center"/>
              <w:rPr>
                <w:sz w:val="20"/>
              </w:rPr>
            </w:pPr>
            <w:r>
              <w:rPr>
                <w:sz w:val="20"/>
                <w:u w:val="single"/>
              </w:rPr>
              <w:br/>
              <w:t>Agriculture Committee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jc w:val="center"/>
              <w:rPr>
                <w:sz w:val="20"/>
              </w:rPr>
            </w:pPr>
            <w:r>
              <w:rPr>
                <w:sz w:val="20"/>
                <w:u w:val="single"/>
              </w:rPr>
              <w:br/>
              <w:t>Commerce Committee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jc w:val="center"/>
              <w:rPr>
                <w:sz w:val="20"/>
              </w:rPr>
            </w:pPr>
            <w:r>
              <w:rPr>
                <w:sz w:val="20"/>
                <w:u w:val="single"/>
              </w:rPr>
              <w:br/>
              <w:t>Banking Committee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jc w:val="center"/>
              <w:rPr/>
            </w:pPr>
            <w:r>
              <w:rPr>
                <w:sz w:val="20"/>
              </w:rPr>
              <w:t>Comments/</w:t>
              <w:br/>
            </w:r>
            <w:r>
              <w:rPr>
                <w:sz w:val="20"/>
                <w:u w:val="single"/>
              </w:rPr>
              <w:t>Proposed Resolution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rPr>
                <w:sz w:val="20"/>
                <w:u w:val="single"/>
              </w:rPr>
            </w:pPr>
            <w:r>
              <w:rPr>
                <w:sz w:val="20"/>
                <w:u w:val="single"/>
              </w:rPr>
              <w:t>Definitions</w:t>
            </w:r>
          </w:p>
          <w:p>
            <w:pPr>
              <w:pStyle w:val="CG-SingleSp"/>
              <w:spacing w:before="0" w:after="240"/>
              <w:rPr>
                <w:sz w:val="20"/>
              </w:rPr>
            </w:pPr>
            <w:r>
              <w:rPr>
                <w:sz w:val="20"/>
              </w:rPr>
              <w:t>(Section 1a of the CEA)</w:t>
            </w:r>
          </w:p>
        </w:tc>
        <w:tc>
          <w:tcPr>
            <w:tcW w:w="3757" w:type="dxa"/>
            <w:tcBorders>
              <w:top w:val="single" w:sz="4" w:space="0" w:color="000000"/>
              <w:start w:val="single" w:sz="4" w:space="0" w:color="000000"/>
              <w:bottom w:val="single" w:sz="4" w:space="0" w:color="000000"/>
              <w:end w:val="single" w:sz="4" w:space="0" w:color="000000"/>
            </w:tcBorders>
          </w:tcPr>
          <w:p>
            <w:pPr>
              <w:pStyle w:val="CG-SingleSp"/>
              <w:snapToGrid w:val="false"/>
              <w:spacing w:before="0" w:after="240"/>
              <w:rPr>
                <w:sz w:val="20"/>
              </w:rPr>
            </w:pPr>
            <w:r>
              <w:rPr>
                <w:sz w:val="20"/>
              </w:rPr>
            </w:r>
          </w:p>
        </w:tc>
        <w:tc>
          <w:tcPr>
            <w:tcW w:w="3758" w:type="dxa"/>
            <w:tcBorders>
              <w:top w:val="single" w:sz="4" w:space="0" w:color="000000"/>
              <w:start w:val="single" w:sz="4" w:space="0" w:color="000000"/>
              <w:bottom w:val="single" w:sz="4" w:space="0" w:color="000000"/>
              <w:end w:val="single" w:sz="4" w:space="0" w:color="000000"/>
            </w:tcBorders>
          </w:tcPr>
          <w:p>
            <w:pPr>
              <w:pStyle w:val="CG-SingleSp"/>
              <w:snapToGrid w:val="false"/>
              <w:spacing w:before="0" w:after="240"/>
              <w:rPr>
                <w:sz w:val="20"/>
              </w:rPr>
            </w:pPr>
            <w:r>
              <w:rPr>
                <w:sz w:val="20"/>
              </w:rPr>
            </w:r>
          </w:p>
        </w:tc>
        <w:tc>
          <w:tcPr>
            <w:tcW w:w="3757" w:type="dxa"/>
            <w:tcBorders>
              <w:top w:val="single" w:sz="4" w:space="0" w:color="000000"/>
              <w:start w:val="single" w:sz="4" w:space="0" w:color="000000"/>
              <w:bottom w:val="single" w:sz="4" w:space="0" w:color="000000"/>
              <w:end w:val="single" w:sz="4" w:space="0" w:color="000000"/>
            </w:tcBorders>
          </w:tcPr>
          <w:p>
            <w:pPr>
              <w:pStyle w:val="CG-SingleSp"/>
              <w:snapToGrid w:val="false"/>
              <w:spacing w:before="0" w:after="240"/>
              <w:rPr>
                <w:sz w:val="20"/>
              </w:rPr>
            </w:pPr>
            <w:r>
              <w:rPr>
                <w:sz w:val="20"/>
              </w:rPr>
            </w:r>
          </w:p>
        </w:tc>
        <w:tc>
          <w:tcPr>
            <w:tcW w:w="3758" w:type="dxa"/>
            <w:tcBorders>
              <w:top w:val="single" w:sz="4" w:space="0" w:color="000000"/>
              <w:start w:val="single" w:sz="4" w:space="0" w:color="000000"/>
              <w:bottom w:val="single" w:sz="4" w:space="0" w:color="000000"/>
              <w:end w:val="single" w:sz="4" w:space="0" w:color="000000"/>
            </w:tcBorders>
          </w:tcPr>
          <w:p>
            <w:pPr>
              <w:pStyle w:val="CG-SingleSp"/>
              <w:snapToGrid w:val="false"/>
              <w:spacing w:before="0" w:after="240"/>
              <w:rPr>
                <w:sz w:val="20"/>
              </w:rPr>
            </w:pPr>
            <w:r>
              <w:rPr>
                <w:sz w:val="20"/>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spacing w:before="0" w:after="240"/>
              <w:ind w:start="720" w:end="0"/>
              <w:rPr>
                <w:sz w:val="20"/>
              </w:rPr>
            </w:pPr>
            <w:r>
              <w:rPr>
                <w:sz w:val="20"/>
              </w:rPr>
              <w:t>banking product</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None.</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None.</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pPr>
            <w:r>
              <w:rPr>
                <w:sz w:val="20"/>
              </w:rPr>
              <w:t>An “identified banking product” as defined in the Gramm-Leach-Bliley Act, other than a contract traded on a contract market or derivatives transaction execution facility (“</w:t>
            </w:r>
            <w:r>
              <w:rPr>
                <w:sz w:val="20"/>
                <w:u w:val="single"/>
              </w:rPr>
              <w:t>DTEF</w:t>
            </w:r>
            <w:r>
              <w:rPr>
                <w:sz w:val="20"/>
              </w:rPr>
              <w:t>”).</w:t>
            </w:r>
          </w:p>
        </w:tc>
        <w:tc>
          <w:tcPr>
            <w:tcW w:w="3758" w:type="dxa"/>
            <w:tcBorders>
              <w:top w:val="single" w:sz="4" w:space="0" w:color="000000"/>
              <w:start w:val="single" w:sz="4" w:space="0" w:color="000000"/>
              <w:bottom w:val="single" w:sz="4" w:space="0" w:color="000000"/>
              <w:end w:val="single" w:sz="4" w:space="0" w:color="000000"/>
            </w:tcBorders>
          </w:tcPr>
          <w:p>
            <w:pPr>
              <w:pStyle w:val="CG-SingleSp"/>
              <w:snapToGrid w:val="false"/>
              <w:spacing w:before="0" w:after="240"/>
              <w:rPr>
                <w:sz w:val="20"/>
              </w:rPr>
            </w:pPr>
            <w:r>
              <w:rPr>
                <w:sz w:val="20"/>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spacing w:before="0" w:after="240"/>
              <w:ind w:start="720" w:end="0"/>
              <w:rPr>
                <w:sz w:val="20"/>
              </w:rPr>
            </w:pPr>
            <w:r>
              <w:rPr>
                <w:sz w:val="20"/>
              </w:rPr>
              <w:t>derivatives clearing organization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An organization that, with respect to a transaction:</w:t>
            </w:r>
          </w:p>
          <w:p>
            <w:pPr>
              <w:pStyle w:val="CG-SingleSp"/>
              <w:numPr>
                <w:ilvl w:val="0"/>
                <w:numId w:val="11"/>
              </w:numPr>
              <w:tabs>
                <w:tab w:val="clear" w:pos="720"/>
                <w:tab w:val="left" w:pos="425" w:leader="none"/>
              </w:tabs>
              <w:ind w:hanging="425" w:start="425" w:end="0"/>
              <w:rPr>
                <w:sz w:val="20"/>
              </w:rPr>
            </w:pPr>
            <w:r>
              <w:rPr>
                <w:sz w:val="20"/>
              </w:rPr>
              <w:t>enables each party to substitute, through novation or otherwise, the credit of the clearing organization for the credit of the parties;</w:t>
            </w:r>
          </w:p>
          <w:p>
            <w:pPr>
              <w:pStyle w:val="CG-SingleSp"/>
              <w:numPr>
                <w:ilvl w:val="0"/>
                <w:numId w:val="11"/>
              </w:numPr>
              <w:tabs>
                <w:tab w:val="clear" w:pos="720"/>
                <w:tab w:val="left" w:pos="425" w:leader="none"/>
              </w:tabs>
              <w:ind w:hanging="425" w:start="425" w:end="0"/>
              <w:rPr>
                <w:sz w:val="20"/>
              </w:rPr>
            </w:pPr>
            <w:r>
              <w:rPr>
                <w:sz w:val="20"/>
              </w:rPr>
              <w:t>arranges or provides, on a multilateral basis, for the settlement or netting of obligations from such transactions executed by parties in the organization; or</w:t>
            </w:r>
          </w:p>
          <w:p>
            <w:pPr>
              <w:pStyle w:val="CG-SingleSp"/>
              <w:numPr>
                <w:ilvl w:val="0"/>
                <w:numId w:val="11"/>
              </w:numPr>
              <w:tabs>
                <w:tab w:val="clear" w:pos="720"/>
                <w:tab w:val="left" w:pos="425" w:leader="none"/>
              </w:tabs>
              <w:ind w:hanging="425" w:start="425" w:end="0"/>
              <w:rPr>
                <w:sz w:val="20"/>
              </w:rPr>
            </w:pPr>
            <w:r>
              <w:rPr>
                <w:sz w:val="20"/>
              </w:rPr>
              <w:t>otherwise provides clearing services or arrangements that mutualize or transfer among parties in the organization the credit risk arising from such transactions executed by the parties.</w:t>
            </w:r>
          </w:p>
          <w:p>
            <w:pPr>
              <w:pStyle w:val="CG-SingleSp"/>
              <w:rPr>
                <w:sz w:val="20"/>
              </w:rPr>
            </w:pPr>
            <w:r>
              <w:rPr>
                <w:sz w:val="20"/>
              </w:rPr>
              <w:br/>
              <w:t>Does not include an entity solely because it arranges or provides for:</w:t>
            </w:r>
          </w:p>
          <w:p>
            <w:pPr>
              <w:pStyle w:val="CG-SingleSp"/>
              <w:numPr>
                <w:ilvl w:val="0"/>
                <w:numId w:val="8"/>
              </w:numPr>
              <w:tabs>
                <w:tab w:val="clear" w:pos="720"/>
                <w:tab w:val="left" w:pos="425" w:leader="none"/>
              </w:tabs>
              <w:ind w:hanging="425" w:start="425" w:end="0"/>
              <w:rPr>
                <w:sz w:val="20"/>
              </w:rPr>
            </w:pPr>
            <w:r>
              <w:rPr>
                <w:sz w:val="20"/>
              </w:rPr>
              <w:t>settlement, netting or novation of obligations on a bilateral basis and without a centralized counterparty;</w:t>
            </w:r>
          </w:p>
          <w:p>
            <w:pPr>
              <w:pStyle w:val="CG-SingleSp"/>
              <w:numPr>
                <w:ilvl w:val="0"/>
                <w:numId w:val="8"/>
              </w:numPr>
              <w:tabs>
                <w:tab w:val="clear" w:pos="720"/>
                <w:tab w:val="left" w:pos="425" w:leader="none"/>
              </w:tabs>
              <w:ind w:hanging="425" w:start="425" w:end="0"/>
              <w:rPr>
                <w:sz w:val="20"/>
              </w:rPr>
            </w:pPr>
            <w:r>
              <w:rPr>
                <w:sz w:val="20"/>
              </w:rPr>
              <w:t>settlement or netting of cash payments through an interbank payment system; or</w:t>
            </w:r>
          </w:p>
          <w:p>
            <w:pPr>
              <w:pStyle w:val="CG-SingleSp"/>
              <w:numPr>
                <w:ilvl w:val="0"/>
                <w:numId w:val="8"/>
              </w:numPr>
              <w:tabs>
                <w:tab w:val="clear" w:pos="720"/>
                <w:tab w:val="left" w:pos="425" w:leader="none"/>
              </w:tabs>
              <w:spacing w:before="0" w:after="240"/>
              <w:ind w:hanging="425" w:start="425" w:end="0"/>
              <w:rPr>
                <w:sz w:val="20"/>
              </w:rPr>
            </w:pPr>
            <w:r>
              <w:rPr>
                <w:sz w:val="20"/>
              </w:rPr>
              <w:t>settlement, netting or novation of obligations resulting from a sale of a commodity in a spot market transaction.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Identical provisions.</w:t>
            </w:r>
          </w:p>
          <w:p>
            <w:pPr>
              <w:pStyle w:val="CG-SingleSp"/>
              <w:rPr>
                <w:sz w:val="20"/>
              </w:rPr>
            </w:pPr>
            <w:r>
              <w:rPr>
                <w:sz w:val="20"/>
              </w:rPr>
              <w:t>Recommend the following technical changes:</w:t>
            </w:r>
          </w:p>
          <w:p>
            <w:pPr>
              <w:pStyle w:val="Normal"/>
              <w:rPr/>
            </w:pPr>
            <w:r>
              <w:rPr>
                <w:color w:val="000000"/>
                <w:sz w:val="20"/>
                <w:lang w:eastAsia="en-US"/>
              </w:rPr>
              <w:t xml:space="preserve">The term ‘derivatives clearing organization’ means a clearinghouse, clearing association, clearing corporation, or similar entity, facility, system, or organization that, with respect to </w:t>
            </w:r>
            <w:r>
              <w:rPr>
                <w:strike/>
                <w:color w:val="000000"/>
                <w:sz w:val="20"/>
                <w:lang w:eastAsia="en-US"/>
              </w:rPr>
              <w:t>a derivative</w:t>
            </w:r>
            <w:r>
              <w:rPr>
                <w:color w:val="000000"/>
                <w:sz w:val="20"/>
                <w:lang w:eastAsia="en-US"/>
              </w:rPr>
              <w:t xml:space="preserve"> an agreement, contract, or transaction—</w:t>
            </w:r>
          </w:p>
          <w:p>
            <w:pPr>
              <w:pStyle w:val="Normal"/>
              <w:ind w:start="320" w:end="0"/>
              <w:rPr/>
            </w:pPr>
            <w:r>
              <w:rPr>
                <w:color w:val="000000"/>
                <w:sz w:val="20"/>
                <w:lang w:eastAsia="en-US"/>
              </w:rPr>
              <w:t xml:space="preserve">(i) enables each party to the </w:t>
            </w:r>
            <w:r>
              <w:rPr>
                <w:strike/>
                <w:color w:val="000000"/>
                <w:sz w:val="20"/>
                <w:lang w:eastAsia="en-US"/>
              </w:rPr>
              <w:t>derivative</w:t>
            </w:r>
            <w:r>
              <w:rPr>
                <w:color w:val="000000"/>
                <w:sz w:val="20"/>
                <w:lang w:eastAsia="en-US"/>
              </w:rPr>
              <w:t xml:space="preserve"> agreement, contract, or transaction to substitute, through novation or otherwise, the credit of the derivatives clearing organization for the credit of the parties;</w:t>
            </w:r>
          </w:p>
          <w:p>
            <w:pPr>
              <w:pStyle w:val="Normal"/>
              <w:ind w:start="320" w:end="0"/>
              <w:rPr/>
            </w:pPr>
            <w:r>
              <w:rPr>
                <w:color w:val="000000"/>
                <w:sz w:val="20"/>
                <w:lang w:eastAsia="en-US"/>
              </w:rPr>
              <w:t xml:space="preserve">(ii) arranges or provides, on a multilateral basis, for the settlement or netting of obligations resulting from such agreements, contracts, or transactions executed by </w:t>
            </w:r>
            <w:r>
              <w:rPr>
                <w:b/>
                <w:color w:val="000000"/>
                <w:sz w:val="20"/>
                <w:u w:val="single"/>
                <w:lang w:eastAsia="en-US"/>
              </w:rPr>
              <w:t>participants</w:t>
            </w:r>
            <w:r>
              <w:rPr>
                <w:color w:val="000000"/>
                <w:sz w:val="20"/>
                <w:lang w:eastAsia="en-US"/>
              </w:rPr>
              <w:t xml:space="preserve"> in the derivatives clearing organization; or</w:t>
            </w:r>
          </w:p>
          <w:p>
            <w:pPr>
              <w:pStyle w:val="Normal"/>
              <w:ind w:start="320" w:end="0"/>
              <w:rPr/>
            </w:pPr>
            <w:r>
              <w:rPr>
                <w:color w:val="000000"/>
                <w:sz w:val="20"/>
                <w:lang w:eastAsia="en-US"/>
              </w:rPr>
              <w:t xml:space="preserve">(iii) otherwise provides clearing services or arrangements that mutualize or transfer among </w:t>
            </w:r>
            <w:r>
              <w:rPr>
                <w:b/>
                <w:color w:val="000000"/>
                <w:sz w:val="20"/>
                <w:u w:val="single"/>
                <w:lang w:eastAsia="en-US"/>
              </w:rPr>
              <w:t>participants</w:t>
            </w:r>
            <w:r>
              <w:rPr>
                <w:color w:val="000000"/>
                <w:sz w:val="20"/>
                <w:lang w:eastAsia="en-US"/>
              </w:rPr>
              <w:t xml:space="preserve"> in the derivatives clearing organization the credit risk arising from such agreements, contracts, or transactions executed by the </w:t>
            </w:r>
            <w:r>
              <w:rPr>
                <w:b/>
                <w:color w:val="000000"/>
                <w:sz w:val="20"/>
                <w:u w:val="single"/>
                <w:lang w:eastAsia="en-US"/>
              </w:rPr>
              <w:t>participants</w:t>
            </w:r>
            <w:r>
              <w:rPr>
                <w:color w:val="000000"/>
                <w:sz w:val="20"/>
                <w:lang w:eastAsia="en-US"/>
              </w:rPr>
              <w:t>.</w:t>
            </w:r>
          </w:p>
          <w:p>
            <w:pPr>
              <w:pStyle w:val="Normal"/>
              <w:rPr>
                <w:color w:val="000000"/>
                <w:sz w:val="20"/>
                <w:lang w:eastAsia="en-US"/>
              </w:rPr>
            </w:pPr>
            <w:r>
              <w:rPr>
                <w:color w:val="000000"/>
                <w:sz w:val="20"/>
                <w:lang w:eastAsia="en-US"/>
              </w:rPr>
              <w:t>(B) EXCLUSIONS.—The term ‘derivatives clearing organization’ does not include an entity, facility, system, or organization solely because it arranges or provides for—</w:t>
            </w:r>
          </w:p>
          <w:p>
            <w:pPr>
              <w:pStyle w:val="Normal"/>
              <w:ind w:start="320" w:end="0"/>
              <w:rPr/>
            </w:pPr>
            <w:r>
              <w:rPr>
                <w:color w:val="000000"/>
                <w:sz w:val="20"/>
                <w:lang w:eastAsia="en-US"/>
              </w:rPr>
              <w:t>(i) settlement, netting, or novation of obligations resulting from agreements, contracts, or transactions, on a bilateral basis and without a central</w:t>
            </w:r>
            <w:r>
              <w:rPr>
                <w:strike/>
                <w:color w:val="000000"/>
                <w:sz w:val="20"/>
                <w:lang w:eastAsia="en-US"/>
              </w:rPr>
              <w:t>ized</w:t>
            </w:r>
            <w:r>
              <w:rPr>
                <w:color w:val="000000"/>
                <w:sz w:val="20"/>
                <w:lang w:eastAsia="en-US"/>
              </w:rPr>
              <w:t xml:space="preserve"> counterparty;</w:t>
            </w:r>
          </w:p>
          <w:p>
            <w:pPr>
              <w:pStyle w:val="Normal"/>
              <w:ind w:start="320" w:end="0"/>
              <w:rPr>
                <w:color w:val="000000"/>
                <w:sz w:val="20"/>
                <w:lang w:eastAsia="en-US"/>
              </w:rPr>
            </w:pPr>
            <w:r>
              <w:rPr>
                <w:color w:val="000000"/>
                <w:sz w:val="20"/>
                <w:lang w:eastAsia="en-US"/>
              </w:rPr>
              <w:t>(ii) settlement or netting of cash payments through an interbank payment system; or</w:t>
            </w:r>
          </w:p>
          <w:p>
            <w:pPr>
              <w:pStyle w:val="CG-SingleSp"/>
              <w:spacing w:before="0" w:after="240"/>
              <w:ind w:start="320" w:end="0"/>
              <w:rPr>
                <w:sz w:val="20"/>
              </w:rPr>
            </w:pPr>
            <w:r>
              <w:rPr>
                <w:sz w:val="20"/>
              </w:rPr>
              <w:t xml:space="preserve">(iii) </w:t>
            </w:r>
            <w:r>
              <w:rPr>
                <w:b/>
                <w:sz w:val="20"/>
                <w:u w:val="single"/>
              </w:rPr>
              <w:t>clearing or settlement of obligations resulting from an agreement, contract or transaction other than a contract for purchase or sale for future delivery, option, cap, floor, collar, swap, swaption, default option, forward or similar derivative</w:t>
            </w:r>
            <w:r>
              <w:rPr>
                <w:color w:val="000000"/>
                <w:sz w:val="20"/>
                <w:lang w:eastAsia="en-US"/>
              </w:rPr>
              <w:t>.</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widowControl w:val="false"/>
              <w:spacing w:before="0" w:after="240"/>
              <w:ind w:start="720" w:end="0"/>
              <w:rPr>
                <w:sz w:val="20"/>
              </w:rPr>
            </w:pPr>
            <w:r>
              <w:rPr>
                <w:sz w:val="20"/>
              </w:rPr>
              <w:t>electronic trading facility</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A trading facility that operates by means of an electronic network and maintains a real-time audit trail of bids, offers and the matching of orders or the execution of transactions.</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Identical provisions.</w:t>
            </w:r>
          </w:p>
          <w:p>
            <w:pPr>
              <w:pStyle w:val="CG-SingleSp"/>
              <w:rPr>
                <w:sz w:val="20"/>
              </w:rPr>
            </w:pPr>
            <w:r>
              <w:rPr>
                <w:sz w:val="20"/>
              </w:rPr>
              <w:t xml:space="preserve">Recommend the following technical changes: </w:t>
            </w:r>
          </w:p>
          <w:p>
            <w:pPr>
              <w:pStyle w:val="CG-SingleSp"/>
              <w:spacing w:before="0" w:after="0"/>
              <w:rPr>
                <w:sz w:val="20"/>
              </w:rPr>
            </w:pPr>
            <w:r>
              <w:rPr>
                <w:sz w:val="20"/>
              </w:rPr>
              <w:t>The term ‘electronic trading facility’ means a trading facility that—</w:t>
            </w:r>
          </w:p>
          <w:p>
            <w:pPr>
              <w:pStyle w:val="CG-SingleSp"/>
              <w:spacing w:before="0" w:after="0"/>
              <w:rPr/>
            </w:pPr>
            <w:r>
              <w:rPr>
                <w:sz w:val="20"/>
              </w:rPr>
              <w:t xml:space="preserve">(A) operates by means of a </w:t>
            </w:r>
            <w:r>
              <w:rPr>
                <w:b/>
                <w:sz w:val="20"/>
                <w:u w:val="single"/>
              </w:rPr>
              <w:t>telecommunications</w:t>
            </w:r>
            <w:r>
              <w:rPr>
                <w:sz w:val="20"/>
              </w:rPr>
              <w:t xml:space="preserve"> network; and</w:t>
            </w:r>
          </w:p>
          <w:p>
            <w:pPr>
              <w:pStyle w:val="CG-SingleSp"/>
              <w:spacing w:before="0" w:after="0"/>
              <w:rPr/>
            </w:pPr>
            <w:r>
              <w:rPr>
                <w:sz w:val="20"/>
              </w:rPr>
              <w:t xml:space="preserve">(B) maintains </w:t>
            </w:r>
            <w:r>
              <w:rPr>
                <w:b/>
                <w:sz w:val="20"/>
                <w:u w:val="single"/>
              </w:rPr>
              <w:t>an automated</w:t>
            </w:r>
            <w:r>
              <w:rPr>
                <w:b/>
                <w:sz w:val="20"/>
              </w:rPr>
              <w:t xml:space="preserve"> </w:t>
            </w:r>
            <w:r>
              <w:rPr>
                <w:sz w:val="20"/>
              </w:rPr>
              <w:t xml:space="preserve">audit trail of bids, offers, and the matching of orders or the execution of transactions </w:t>
            </w:r>
            <w:r>
              <w:rPr>
                <w:b/>
                <w:sz w:val="20"/>
                <w:u w:val="single"/>
              </w:rPr>
              <w:t>on the facility</w:t>
            </w:r>
            <w:r>
              <w:rPr>
                <w:sz w:val="20"/>
              </w:rPr>
              <w:t>.</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widowControl w:val="false"/>
              <w:spacing w:before="0" w:after="240"/>
              <w:ind w:start="720" w:end="0"/>
              <w:rPr>
                <w:sz w:val="20"/>
              </w:rPr>
            </w:pPr>
            <w:r>
              <w:rPr>
                <w:sz w:val="20"/>
              </w:rPr>
              <w:t>eligible commercial participant</w:t>
            </w:r>
          </w:p>
        </w:tc>
        <w:tc>
          <w:tcPr>
            <w:tcW w:w="3757"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An eligible contract participant that is a financial institution, insurance company, corporation or government entity that, in connection with its business:</w:t>
            </w:r>
          </w:p>
          <w:p>
            <w:pPr>
              <w:pStyle w:val="CG-SingleSp"/>
              <w:numPr>
                <w:ilvl w:val="0"/>
                <w:numId w:val="13"/>
              </w:numPr>
              <w:tabs>
                <w:tab w:val="clear" w:pos="720"/>
                <w:tab w:val="left" w:pos="425" w:leader="none"/>
              </w:tabs>
              <w:ind w:hanging="425" w:start="425" w:end="0"/>
              <w:rPr>
                <w:sz w:val="20"/>
              </w:rPr>
            </w:pPr>
            <w:r>
              <w:rPr>
                <w:sz w:val="20"/>
              </w:rPr>
              <w:t>has a demonstrable ability, directly or through separate contractual arrangements, to make or take delivery of the underlying physical commodity;</w:t>
            </w:r>
          </w:p>
          <w:p>
            <w:pPr>
              <w:pStyle w:val="CG-SingleSp"/>
              <w:numPr>
                <w:ilvl w:val="0"/>
                <w:numId w:val="13"/>
              </w:numPr>
              <w:tabs>
                <w:tab w:val="clear" w:pos="720"/>
                <w:tab w:val="left" w:pos="425" w:leader="none"/>
              </w:tabs>
              <w:ind w:hanging="425" w:start="425" w:end="0"/>
              <w:rPr>
                <w:sz w:val="20"/>
              </w:rPr>
            </w:pPr>
            <w:r>
              <w:rPr>
                <w:sz w:val="20"/>
              </w:rPr>
              <w:t>incurs risks, in addition to price risk, related to the commodity; or</w:t>
            </w:r>
          </w:p>
          <w:p>
            <w:pPr>
              <w:pStyle w:val="CG-SingleSp"/>
              <w:numPr>
                <w:ilvl w:val="0"/>
                <w:numId w:val="13"/>
              </w:numPr>
              <w:tabs>
                <w:tab w:val="clear" w:pos="720"/>
                <w:tab w:val="left" w:pos="425" w:leader="none"/>
              </w:tabs>
              <w:spacing w:before="0" w:after="240"/>
              <w:ind w:hanging="425" w:start="425" w:end="0"/>
              <w:rPr>
                <w:sz w:val="20"/>
              </w:rPr>
            </w:pPr>
            <w:r>
              <w:rPr>
                <w:sz w:val="20"/>
              </w:rPr>
              <w:t>is a dealer that regularly provides risk management, hedging or market-making services to the foregoing entities.</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pPr>
            <w:r>
              <w:rPr>
                <w:sz w:val="20"/>
              </w:rPr>
              <w:t>Same as Agriculture version, but includes an eligible contract participant that is a broker-dealer, material associated person of a broker-dealer (“</w:t>
            </w:r>
            <w:r>
              <w:rPr>
                <w:sz w:val="20"/>
                <w:u w:val="single"/>
              </w:rPr>
              <w:t>MAP</w:t>
            </w:r>
            <w:r>
              <w:rPr>
                <w:sz w:val="20"/>
              </w:rPr>
              <w:t>”) or investment bank holding company and does not include an eligible contract participant that is a government entity.</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Recommend the following modifications to the Agriculture and Commerce versions:</w:t>
            </w:r>
          </w:p>
          <w:p>
            <w:pPr>
              <w:pStyle w:val="CG-SingleSp"/>
              <w:rPr/>
            </w:pPr>
            <w:r>
              <w:rPr>
                <w:sz w:val="20"/>
              </w:rPr>
              <w:t xml:space="preserve">The term “eligible commercial participant” means, </w:t>
            </w:r>
            <w:r>
              <w:rPr>
                <w:b/>
                <w:sz w:val="20"/>
                <w:u w:val="single"/>
              </w:rPr>
              <w:t>with respect to an agreement, contract or transaction in a commodity</w:t>
            </w:r>
            <w:r>
              <w:rPr>
                <w:sz w:val="20"/>
              </w:rPr>
              <w:t xml:space="preserve">, an eligible contract participant described in clauses (i), (ii), (v), </w:t>
            </w:r>
            <w:r>
              <w:rPr>
                <w:b/>
                <w:sz w:val="20"/>
                <w:u w:val="single"/>
              </w:rPr>
              <w:t>(vii), (viii) or (ix)</w:t>
            </w:r>
            <w:r>
              <w:rPr>
                <w:sz w:val="20"/>
              </w:rPr>
              <w:t xml:space="preserve"> of the definition thereof that, in connection with its business:</w:t>
            </w:r>
          </w:p>
          <w:p>
            <w:pPr>
              <w:pStyle w:val="CG-SingleSp"/>
              <w:rPr/>
            </w:pPr>
            <w:r>
              <w:rPr>
                <w:sz w:val="20"/>
              </w:rPr>
              <w:t xml:space="preserve">(i) has a demonstrable ability, directly or through separate contractual arrangements, to make or take delivery of the underlying </w:t>
            </w:r>
            <w:r>
              <w:rPr>
                <w:strike/>
                <w:sz w:val="20"/>
              </w:rPr>
              <w:t>physical</w:t>
            </w:r>
            <w:r>
              <w:rPr>
                <w:sz w:val="20"/>
              </w:rPr>
              <w:t xml:space="preserve"> commodity;</w:t>
            </w:r>
          </w:p>
          <w:p>
            <w:pPr>
              <w:pStyle w:val="CG-SingleSp"/>
              <w:rPr>
                <w:sz w:val="20"/>
              </w:rPr>
            </w:pPr>
            <w:r>
              <w:rPr>
                <w:sz w:val="20"/>
              </w:rPr>
              <w:t xml:space="preserve">(ii) incurs risks, in addition to price risk, related to the commodity; </w:t>
            </w:r>
          </w:p>
          <w:p>
            <w:pPr>
              <w:pStyle w:val="CG-SingleSp"/>
              <w:rPr>
                <w:sz w:val="20"/>
              </w:rPr>
            </w:pPr>
            <w:r>
              <w:rPr>
                <w:sz w:val="20"/>
              </w:rPr>
              <w:t>(iii) is a dealer that regularly provides risk management, hedging or market-making services to the foregoing entities; or</w:t>
            </w:r>
          </w:p>
          <w:p>
            <w:pPr>
              <w:pStyle w:val="CG-SingleSp"/>
              <w:spacing w:before="0" w:after="240"/>
              <w:rPr>
                <w:sz w:val="20"/>
              </w:rPr>
            </w:pPr>
            <w:r>
              <w:rPr>
                <w:b/>
                <w:sz w:val="20"/>
                <w:u w:val="single"/>
              </w:rPr>
              <w:t>(iv) is regularly engaged in the business of buying or selling the commodity or entering into derivative agreements, contracts or transactions in the commodity.</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widowControl w:val="false"/>
              <w:spacing w:before="0" w:after="240"/>
              <w:ind w:start="720" w:end="0"/>
              <w:rPr/>
            </w:pPr>
            <w:r>
              <w:rPr>
                <w:sz w:val="20"/>
              </w:rPr>
              <w:t>Eligible contract participant (“</w:t>
            </w:r>
            <w:r>
              <w:rPr>
                <w:sz w:val="20"/>
                <w:u w:val="single"/>
              </w:rPr>
              <w:t>ECP</w:t>
            </w:r>
            <w:r>
              <w:rPr>
                <w:sz w:val="20"/>
              </w:rPr>
              <w:t>”)</w:t>
            </w:r>
          </w:p>
        </w:tc>
        <w:tc>
          <w:tcPr>
            <w:tcW w:w="3757" w:type="dxa"/>
            <w:tcBorders>
              <w:top w:val="single" w:sz="4" w:space="0" w:color="000000"/>
              <w:start w:val="single" w:sz="4" w:space="0" w:color="000000"/>
              <w:bottom w:val="single" w:sz="4" w:space="0" w:color="000000"/>
              <w:end w:val="single" w:sz="4" w:space="0" w:color="000000"/>
            </w:tcBorders>
          </w:tcPr>
          <w:p>
            <w:pPr>
              <w:pStyle w:val="CG-SingleSp"/>
              <w:snapToGrid w:val="false"/>
              <w:spacing w:before="0" w:after="240"/>
              <w:rPr>
                <w:sz w:val="20"/>
              </w:rPr>
            </w:pPr>
            <w:r>
              <w:rPr>
                <w:sz w:val="20"/>
              </w:rPr>
            </w:r>
          </w:p>
        </w:tc>
        <w:tc>
          <w:tcPr>
            <w:tcW w:w="3758" w:type="dxa"/>
            <w:tcBorders>
              <w:top w:val="single" w:sz="4" w:space="0" w:color="000000"/>
              <w:start w:val="single" w:sz="4" w:space="0" w:color="000000"/>
              <w:bottom w:val="single" w:sz="4" w:space="0" w:color="000000"/>
              <w:end w:val="single" w:sz="4" w:space="0" w:color="000000"/>
            </w:tcBorders>
          </w:tcPr>
          <w:p>
            <w:pPr>
              <w:pStyle w:val="CG-SingleSp"/>
              <w:snapToGrid w:val="false"/>
              <w:spacing w:before="0" w:after="240"/>
              <w:rPr>
                <w:sz w:val="20"/>
              </w:rPr>
            </w:pPr>
            <w:r>
              <w:rPr>
                <w:sz w:val="20"/>
              </w:rPr>
            </w:r>
          </w:p>
        </w:tc>
        <w:tc>
          <w:tcPr>
            <w:tcW w:w="3757" w:type="dxa"/>
            <w:tcBorders>
              <w:top w:val="single" w:sz="4" w:space="0" w:color="000000"/>
              <w:start w:val="single" w:sz="4" w:space="0" w:color="000000"/>
              <w:bottom w:val="single" w:sz="4" w:space="0" w:color="000000"/>
              <w:end w:val="single" w:sz="4" w:space="0" w:color="000000"/>
            </w:tcBorders>
          </w:tcPr>
          <w:p>
            <w:pPr>
              <w:pStyle w:val="CG-SingleSp"/>
              <w:snapToGrid w:val="false"/>
              <w:spacing w:before="0" w:after="240"/>
              <w:rPr>
                <w:sz w:val="20"/>
              </w:rPr>
            </w:pPr>
            <w:r>
              <w:rPr>
                <w:sz w:val="20"/>
              </w:rPr>
            </w:r>
          </w:p>
        </w:tc>
        <w:tc>
          <w:tcPr>
            <w:tcW w:w="3758" w:type="dxa"/>
            <w:tcBorders>
              <w:top w:val="single" w:sz="4" w:space="0" w:color="000000"/>
              <w:start w:val="single" w:sz="4" w:space="0" w:color="000000"/>
              <w:bottom w:val="single" w:sz="4" w:space="0" w:color="000000"/>
              <w:end w:val="single" w:sz="4" w:space="0" w:color="000000"/>
            </w:tcBorders>
          </w:tcPr>
          <w:p>
            <w:pPr>
              <w:pStyle w:val="CG-SingleSp"/>
              <w:snapToGrid w:val="false"/>
              <w:spacing w:before="0" w:after="240"/>
              <w:rPr>
                <w:sz w:val="20"/>
              </w:rPr>
            </w:pPr>
            <w:r>
              <w:rPr>
                <w:sz w:val="20"/>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spacing w:before="0" w:after="240"/>
              <w:ind w:start="720" w:end="0"/>
              <w:rPr/>
            </w:pPr>
            <w:r>
              <w:rPr>
                <w:rFonts w:eastAsia="Symbol" w:cs="Symbol" w:ascii="Symbol" w:hAnsi="Symbol"/>
                <w:sz w:val="20"/>
              </w:rPr>
              <w:sym w:font="Symbol" w:char="f0be"/>
            </w:r>
            <w:r>
              <w:rPr>
                <w:sz w:val="20"/>
              </w:rPr>
              <w:t>categories common to all three versions</w:t>
            </w:r>
          </w:p>
        </w:tc>
        <w:tc>
          <w:tcPr>
            <w:tcW w:w="3757" w:type="dxa"/>
            <w:tcBorders>
              <w:top w:val="single" w:sz="4" w:space="0" w:color="000000"/>
              <w:start w:val="single" w:sz="4" w:space="0" w:color="000000"/>
              <w:bottom w:val="single" w:sz="4" w:space="0" w:color="000000"/>
              <w:end w:val="single" w:sz="4" w:space="0" w:color="000000"/>
            </w:tcBorders>
          </w:tcPr>
          <w:p>
            <w:pPr>
              <w:pStyle w:val="CG-SingleSp"/>
              <w:numPr>
                <w:ilvl w:val="0"/>
                <w:numId w:val="12"/>
              </w:numPr>
              <w:tabs>
                <w:tab w:val="clear" w:pos="720"/>
                <w:tab w:val="left" w:pos="425" w:leader="none"/>
              </w:tabs>
              <w:ind w:hanging="425" w:start="425" w:end="0"/>
              <w:rPr>
                <w:sz w:val="20"/>
              </w:rPr>
            </w:pPr>
            <w:r>
              <w:rPr>
                <w:sz w:val="20"/>
              </w:rPr>
              <w:t>financial institutions;</w:t>
            </w:r>
          </w:p>
          <w:p>
            <w:pPr>
              <w:pStyle w:val="CG-SingleSp"/>
              <w:numPr>
                <w:ilvl w:val="0"/>
                <w:numId w:val="12"/>
              </w:numPr>
              <w:tabs>
                <w:tab w:val="clear" w:pos="720"/>
                <w:tab w:val="left" w:pos="425" w:leader="none"/>
              </w:tabs>
              <w:ind w:hanging="425" w:start="425" w:end="0"/>
              <w:rPr>
                <w:sz w:val="20"/>
              </w:rPr>
            </w:pPr>
            <w:r>
              <w:rPr>
                <w:sz w:val="20"/>
              </w:rPr>
              <w:t>registered investment companies or similarly regulated foreign persons;</w:t>
            </w:r>
          </w:p>
          <w:p>
            <w:pPr>
              <w:pStyle w:val="CG-SingleSp"/>
              <w:numPr>
                <w:ilvl w:val="0"/>
                <w:numId w:val="12"/>
              </w:numPr>
              <w:tabs>
                <w:tab w:val="clear" w:pos="720"/>
                <w:tab w:val="left" w:pos="425" w:leader="none"/>
              </w:tabs>
              <w:ind w:hanging="425" w:start="425" w:end="0"/>
              <w:rPr>
                <w:sz w:val="20"/>
              </w:rPr>
            </w:pPr>
            <w:r>
              <w:rPr>
                <w:sz w:val="20"/>
              </w:rPr>
              <w:t>commodity pools with assets exceeding $5 million that are formed and operated by a CFTC-regulated person or similarly regulated foreign person;</w:t>
            </w:r>
          </w:p>
          <w:p>
            <w:pPr>
              <w:pStyle w:val="CG-SingleSp"/>
              <w:numPr>
                <w:ilvl w:val="0"/>
                <w:numId w:val="12"/>
              </w:numPr>
              <w:tabs>
                <w:tab w:val="clear" w:pos="720"/>
                <w:tab w:val="left" w:pos="425" w:leader="none"/>
              </w:tabs>
              <w:ind w:hanging="425" w:start="425" w:end="0"/>
              <w:rPr>
                <w:sz w:val="20"/>
              </w:rPr>
            </w:pPr>
            <w:r>
              <w:rPr>
                <w:sz w:val="20"/>
              </w:rPr>
              <w:t>corporations or other entities (A) with total assets exceeding $10 million, (B) whose obligations are supported by a support agreement, or (C) that have a net worth exceeding $1 million and enter into the transaction in connection with their business or to manage the risk associated with an asset or liability;</w:t>
            </w:r>
          </w:p>
          <w:p>
            <w:pPr>
              <w:pStyle w:val="CG-SingleSp"/>
              <w:numPr>
                <w:ilvl w:val="0"/>
                <w:numId w:val="12"/>
              </w:numPr>
              <w:tabs>
                <w:tab w:val="clear" w:pos="720"/>
                <w:tab w:val="left" w:pos="425" w:leader="none"/>
              </w:tabs>
              <w:ind w:hanging="425" w:start="425" w:end="0"/>
              <w:rPr>
                <w:sz w:val="20"/>
              </w:rPr>
            </w:pPr>
            <w:r>
              <w:rPr>
                <w:sz w:val="20"/>
              </w:rPr>
              <w:t>ERISA plans (or similarly regulated foreign persons) with assets exceeding $5 million and whose investment decisions are made by CTAs, investment advisors, similarly regulated foreign persons, financial institutions or insurance companies;</w:t>
            </w:r>
          </w:p>
          <w:p>
            <w:pPr>
              <w:pStyle w:val="CG-SingleSp"/>
              <w:numPr>
                <w:ilvl w:val="0"/>
                <w:numId w:val="12"/>
              </w:numPr>
              <w:tabs>
                <w:tab w:val="clear" w:pos="720"/>
                <w:tab w:val="left" w:pos="425" w:leader="none"/>
              </w:tabs>
              <w:ind w:hanging="425" w:start="425" w:end="0"/>
              <w:rPr>
                <w:sz w:val="20"/>
              </w:rPr>
            </w:pPr>
            <w:r>
              <w:rPr>
                <w:sz w:val="20"/>
              </w:rPr>
              <w:t xml:space="preserve">Governmental entities (federal, state or foreign) and subdivisions or agencies thereof; and </w:t>
            </w:r>
          </w:p>
          <w:p>
            <w:pPr>
              <w:pStyle w:val="CG-SingleSp"/>
              <w:numPr>
                <w:ilvl w:val="0"/>
                <w:numId w:val="12"/>
              </w:numPr>
              <w:tabs>
                <w:tab w:val="clear" w:pos="720"/>
                <w:tab w:val="left" w:pos="425" w:leader="none"/>
              </w:tabs>
              <w:spacing w:before="0" w:after="240"/>
              <w:ind w:hanging="425" w:start="425" w:end="0"/>
              <w:rPr>
                <w:sz w:val="20"/>
              </w:rPr>
            </w:pPr>
            <w:r>
              <w:rPr>
                <w:sz w:val="20"/>
              </w:rPr>
              <w:t>floor brokers and floor traders in connection with transactions on a contract market, DTEF or exempt board of trade on which such person regularly trades.</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Identical provisions.</w:t>
            </w:r>
          </w:p>
          <w:p>
            <w:pPr>
              <w:pStyle w:val="CG-SingleSp"/>
              <w:rPr>
                <w:sz w:val="20"/>
              </w:rPr>
            </w:pPr>
            <w:r>
              <w:rPr>
                <w:sz w:val="20"/>
              </w:rPr>
              <w:t>Recommend as a technical change replacing clause (A)(vi) of the definition of ECP with the following:</w:t>
            </w:r>
          </w:p>
          <w:p>
            <w:pPr>
              <w:pStyle w:val="CG-SingleSp"/>
              <w:spacing w:before="0" w:after="240"/>
              <w:rPr>
                <w:sz w:val="20"/>
              </w:rPr>
            </w:pPr>
            <w:r>
              <w:rPr>
                <w:sz w:val="20"/>
              </w:rPr>
              <w:t>an employee benefit plan as defined in section 3(3) of the Employee Retirement Income Security Act of 1974 or a trust comprised of the assets of any such plan, in each case that has total assets exceeding $5,000,000;</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spacing w:before="0" w:after="240"/>
              <w:ind w:start="720" w:end="0"/>
              <w:rPr>
                <w:sz w:val="20"/>
              </w:rPr>
            </w:pPr>
            <w:r>
              <w:rPr>
                <w:sz w:val="20"/>
              </w:rPr>
              <w:t>—</w:t>
            </w:r>
            <w:r>
              <w:rPr>
                <w:sz w:val="20"/>
              </w:rPr>
              <w:t>insurance companies</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State-regulated insurance companies (as well as their subsidiaries and affiliates).</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pPr>
            <w:r>
              <w:rPr>
                <w:sz w:val="20"/>
              </w:rPr>
              <w:t xml:space="preserve">Also includes foreign-regulated insurance companies, but only covers </w:t>
            </w:r>
            <w:r>
              <w:rPr>
                <w:sz w:val="20"/>
                <w:u w:val="single"/>
              </w:rPr>
              <w:t>regulated</w:t>
            </w:r>
            <w:r>
              <w:rPr>
                <w:sz w:val="20"/>
              </w:rPr>
              <w:t xml:space="preserve"> subsidiaries and affiliates.</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Prefer Agriculture/Banking version.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spacing w:before="0" w:after="240"/>
              <w:ind w:start="720" w:end="0"/>
              <w:rPr>
                <w:sz w:val="20"/>
              </w:rPr>
            </w:pPr>
            <w:r>
              <w:rPr>
                <w:sz w:val="20"/>
              </w:rPr>
              <w:t>—</w:t>
            </w:r>
            <w:r>
              <w:rPr>
                <w:sz w:val="20"/>
              </w:rPr>
              <w:t>broker-dealers and FCMs</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Registered broker-dealers and FCMs and similarly regulated foreign persons.</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Also includes MAPs, certain affiliated persons of FCMs and investment bank holding companies.</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Prefer Commerce version.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spacing w:before="0" w:after="240"/>
              <w:ind w:start="720" w:end="0"/>
              <w:rPr>
                <w:sz w:val="20"/>
              </w:rPr>
            </w:pPr>
            <w:r>
              <w:rPr>
                <w:sz w:val="20"/>
              </w:rPr>
              <w:t>—</w:t>
            </w:r>
            <w:r>
              <w:rPr>
                <w:sz w:val="20"/>
              </w:rPr>
              <w:t>CTAs</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A CTA having $25 million in assets under management, acting as investment manager or fiduciary for any other person.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Not included.</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 xml:space="preserve">Same as Agriculture version. </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Prefer Commerce version.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spacing w:before="0" w:after="240"/>
              <w:ind w:start="720" w:end="0"/>
              <w:rPr>
                <w:sz w:val="20"/>
              </w:rPr>
            </w:pPr>
            <w:r>
              <w:rPr>
                <w:sz w:val="20"/>
              </w:rPr>
              <w:t>—</w:t>
            </w:r>
            <w:r>
              <w:rPr>
                <w:sz w:val="20"/>
              </w:rPr>
              <w:t>natural persons</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Natural persons with assets exceeding $10 million.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Also includes natural persons with assets exceeding $5 million where the person enters into the transaction to manage the risk of an asset or liability.</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Prefer Banking version.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spacing w:before="0" w:after="240"/>
              <w:ind w:start="720" w:end="0"/>
              <w:rPr>
                <w:sz w:val="20"/>
              </w:rPr>
            </w:pPr>
            <w:r>
              <w:rPr>
                <w:sz w:val="20"/>
              </w:rPr>
              <w:t>—</w:t>
            </w:r>
            <w:r>
              <w:rPr>
                <w:sz w:val="20"/>
              </w:rPr>
              <w:t xml:space="preserve">additional retail restrictions </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None.</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pPr>
            <w:r>
              <w:rPr>
                <w:sz w:val="20"/>
              </w:rPr>
              <w:t>Notwithstanding the foregoing, corporations, ERISA plans, government entities and natural persons that own and invest on a discretionary basis less than $50 million in investments are only ECPs if the relevant transaction is entered into with certain regulated entities (financial institutions, insurance companies, broker-dealers, MAPs of broker-dealers, FCMs, affiliated persons of FCMs, investment bank holding companies and financial holding companies (“</w:t>
            </w:r>
            <w:r>
              <w:rPr>
                <w:sz w:val="20"/>
                <w:u w:val="single"/>
              </w:rPr>
              <w:t>Regulated Intermediaries</w:t>
            </w:r>
            <w:r>
              <w:rPr>
                <w:sz w:val="20"/>
              </w:rPr>
              <w:t>”))</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None.</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Prefer Agriculture/Banking version.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widowControl w:val="false"/>
              <w:spacing w:before="0" w:after="240"/>
              <w:ind w:start="720" w:end="0"/>
              <w:rPr>
                <w:sz w:val="20"/>
              </w:rPr>
            </w:pPr>
            <w:r>
              <w:rPr>
                <w:sz w:val="20"/>
              </w:rPr>
              <w:t>—</w:t>
            </w:r>
            <w:r>
              <w:rPr>
                <w:sz w:val="20"/>
              </w:rPr>
              <w:t xml:space="preserve">agency/ investment management </w:t>
            </w:r>
          </w:p>
        </w:tc>
        <w:tc>
          <w:tcPr>
            <w:tcW w:w="3757" w:type="dxa"/>
            <w:tcBorders>
              <w:top w:val="single" w:sz="4" w:space="0" w:color="000000"/>
              <w:start w:val="single" w:sz="4" w:space="0" w:color="000000"/>
              <w:bottom w:val="single" w:sz="4" w:space="0" w:color="000000"/>
              <w:end w:val="single" w:sz="4" w:space="0" w:color="000000"/>
            </w:tcBorders>
          </w:tcPr>
          <w:p>
            <w:pPr>
              <w:pStyle w:val="CG-SingleSp"/>
              <w:numPr>
                <w:ilvl w:val="0"/>
                <w:numId w:val="6"/>
              </w:numPr>
              <w:tabs>
                <w:tab w:val="clear" w:pos="720"/>
                <w:tab w:val="left" w:pos="425" w:leader="none"/>
              </w:tabs>
              <w:ind w:hanging="425" w:start="425" w:end="0"/>
              <w:rPr>
                <w:sz w:val="20"/>
              </w:rPr>
            </w:pPr>
            <w:r>
              <w:rPr>
                <w:sz w:val="20"/>
              </w:rPr>
              <w:t>Any of the above ECPs acting as a broker or in an equivalent agency function on behalf of another ECP; or</w:t>
            </w:r>
          </w:p>
          <w:p>
            <w:pPr>
              <w:pStyle w:val="CG-SingleSp"/>
              <w:numPr>
                <w:ilvl w:val="0"/>
                <w:numId w:val="6"/>
              </w:numPr>
              <w:tabs>
                <w:tab w:val="clear" w:pos="720"/>
                <w:tab w:val="left" w:pos="425" w:leader="none"/>
              </w:tabs>
              <w:spacing w:before="0" w:after="240"/>
              <w:ind w:hanging="425" w:start="425" w:end="0"/>
              <w:rPr>
                <w:sz w:val="20"/>
              </w:rPr>
            </w:pPr>
            <w:r>
              <w:rPr>
                <w:sz w:val="20"/>
              </w:rPr>
              <w:t>an investment adviser, CTA, similarly regulated foreign person, or any other ECP, acting as investment manager or fiduciary for another ECP.</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pPr>
            <w:r>
              <w:rPr>
                <w:sz w:val="20"/>
              </w:rPr>
              <w:t xml:space="preserve">For both (i) and (ii), instead of allowing </w:t>
            </w:r>
            <w:r>
              <w:rPr>
                <w:b/>
                <w:i/>
                <w:sz w:val="20"/>
                <w:u w:val="single"/>
              </w:rPr>
              <w:t>any</w:t>
            </w:r>
            <w:r>
              <w:rPr>
                <w:sz w:val="20"/>
              </w:rPr>
              <w:t xml:space="preserve"> ECP to act as agent or investment manager for another ECP, limited to financial institutions, insurance companies, broker-dealers, MAPs of broker-dealers, investment bank holding companies, FCMs, affiliated persons of FCMs, floor brokers and floor traders.</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Prefer Agriculture/Banking version.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widowControl w:val="false"/>
              <w:spacing w:before="0" w:after="240"/>
              <w:ind w:start="720" w:end="0"/>
              <w:rPr>
                <w:sz w:val="20"/>
              </w:rPr>
            </w:pPr>
            <w:r>
              <w:rPr>
                <w:sz w:val="20"/>
              </w:rPr>
              <w:t xml:space="preserve">excluded commodity </w:t>
            </w:r>
          </w:p>
        </w:tc>
        <w:tc>
          <w:tcPr>
            <w:tcW w:w="3757" w:type="dxa"/>
            <w:tcBorders>
              <w:top w:val="single" w:sz="4" w:space="0" w:color="000000"/>
              <w:start w:val="single" w:sz="4" w:space="0" w:color="000000"/>
              <w:bottom w:val="single" w:sz="4" w:space="0" w:color="000000"/>
              <w:end w:val="single" w:sz="4" w:space="0" w:color="000000"/>
            </w:tcBorders>
          </w:tcPr>
          <w:p>
            <w:pPr>
              <w:pStyle w:val="CG-SingleSp"/>
              <w:rPr/>
            </w:pPr>
            <w:r>
              <w:rPr>
                <w:sz w:val="20"/>
              </w:rPr>
              <w:t xml:space="preserve">(A) </w:t>
            </w:r>
            <w:r>
              <w:rPr>
                <w:color w:val="000000"/>
                <w:sz w:val="20"/>
                <w:lang w:eastAsia="en-US"/>
              </w:rPr>
              <w:t>an interest rate, exchange rate, currency, security, security index, credit risk or measure, debt or equity instrument, or index or measure of inflation;</w:t>
            </w:r>
          </w:p>
          <w:p>
            <w:pPr>
              <w:pStyle w:val="CG-SingleSp"/>
              <w:rPr/>
            </w:pPr>
            <w:r>
              <w:rPr>
                <w:color w:val="000000"/>
                <w:sz w:val="20"/>
                <w:lang w:eastAsia="en-US"/>
              </w:rPr>
              <w:t xml:space="preserve">(B) any other rate, differential, index, or measure of economic or commercial risk, return, or value that (i) is not within the control of any party to the relevant transaction; </w:t>
            </w:r>
            <w:r>
              <w:rPr>
                <w:color w:val="000000"/>
                <w:sz w:val="20"/>
                <w:u w:val="single"/>
                <w:lang w:eastAsia="en-US"/>
              </w:rPr>
              <w:t>or</w:t>
            </w:r>
            <w:r>
              <w:rPr>
                <w:color w:val="000000"/>
                <w:sz w:val="20"/>
                <w:lang w:eastAsia="en-US"/>
              </w:rPr>
              <w:t xml:space="preserve"> (ii) is not based in substantial part on the value of a limited number of commodities not described in subparagraph (A) that have a finite supply; or</w:t>
            </w:r>
          </w:p>
          <w:p>
            <w:pPr>
              <w:pStyle w:val="CG-SingleSp"/>
              <w:spacing w:before="0" w:after="240"/>
              <w:rPr>
                <w:sz w:val="20"/>
              </w:rPr>
            </w:pPr>
            <w:r>
              <w:rPr>
                <w:color w:val="000000"/>
                <w:sz w:val="20"/>
                <w:lang w:eastAsia="en-US"/>
              </w:rPr>
              <w:t>(C) an occurrence, extent of an occurrence, or contingency beyond the control of the parties to the relevant transaction.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In addition to (A), covers:</w:t>
            </w:r>
          </w:p>
          <w:p>
            <w:pPr>
              <w:pStyle w:val="CG-SingleSp"/>
              <w:rPr/>
            </w:pPr>
            <w:r>
              <w:rPr>
                <w:color w:val="000000"/>
                <w:sz w:val="20"/>
                <w:lang w:eastAsia="en-US"/>
              </w:rPr>
              <w:t xml:space="preserve">(B) any other rate, differential, index, or measure of economic or commercial risk, return, or value that (i) is not within the control of any party to the relevant transaction; </w:t>
            </w:r>
            <w:r>
              <w:rPr>
                <w:b/>
                <w:i/>
                <w:color w:val="000000"/>
                <w:sz w:val="20"/>
                <w:u w:val="single"/>
                <w:lang w:eastAsia="en-US"/>
              </w:rPr>
              <w:t>and</w:t>
            </w:r>
            <w:r>
              <w:rPr>
                <w:color w:val="000000"/>
                <w:sz w:val="20"/>
                <w:lang w:eastAsia="en-US"/>
              </w:rPr>
              <w:t xml:space="preserve"> (ii) is not based in substantial part on the value of a limited number of commodities not described in subparagraph (A) that have a finite supply; or</w:t>
            </w:r>
          </w:p>
          <w:p>
            <w:pPr>
              <w:pStyle w:val="CG-SingleSp"/>
              <w:spacing w:before="0" w:after="240"/>
              <w:rPr>
                <w:sz w:val="20"/>
              </w:rPr>
            </w:pPr>
            <w:r>
              <w:rPr>
                <w:color w:val="000000"/>
                <w:sz w:val="20"/>
                <w:lang w:eastAsia="en-US"/>
              </w:rPr>
              <w:t xml:space="preserve">(C) an occurrence, extent of an occurrence, or contingency </w:t>
            </w:r>
            <w:r>
              <w:rPr>
                <w:b/>
                <w:i/>
                <w:color w:val="000000"/>
                <w:sz w:val="20"/>
                <w:u w:val="single"/>
                <w:lang w:eastAsia="en-US"/>
              </w:rPr>
              <w:t xml:space="preserve">associated with commercial or economic consequences </w:t>
            </w:r>
            <w:r>
              <w:rPr>
                <w:color w:val="000000"/>
                <w:sz w:val="20"/>
                <w:lang w:eastAsia="en-US"/>
              </w:rPr>
              <w:t>beyond the control of the parties to the relevant transaction.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(defined as “exclusion-eligible commodity”)</w:t>
            </w:r>
          </w:p>
          <w:p>
            <w:pPr>
              <w:pStyle w:val="CG-SingleSp"/>
              <w:rPr>
                <w:sz w:val="20"/>
              </w:rPr>
            </w:pPr>
            <w:r>
              <w:rPr>
                <w:sz w:val="20"/>
              </w:rPr>
              <w:t xml:space="preserve">In (A), also covers any other macroeconomic index or measure.  </w:t>
            </w:r>
          </w:p>
          <w:p>
            <w:pPr>
              <w:pStyle w:val="CG-SingleSp"/>
              <w:rPr>
                <w:sz w:val="20"/>
              </w:rPr>
            </w:pPr>
            <w:r>
              <w:rPr>
                <w:sz w:val="20"/>
              </w:rPr>
              <w:t>In addition to (A), covers:</w:t>
            </w:r>
          </w:p>
          <w:p>
            <w:pPr>
              <w:pStyle w:val="CG-SingleSp"/>
              <w:rPr>
                <w:sz w:val="20"/>
              </w:rPr>
            </w:pPr>
            <w:r>
              <w:rPr>
                <w:sz w:val="20"/>
              </w:rPr>
              <w:t>(B) any other rate, differential, index or measure of economic or commercial risk, return or value that is (i) not based in substantial part on a narrow group of commodities not described in subparagraph (A) or (ii) based solely on one or more commodities that have no cash market;</w:t>
            </w:r>
          </w:p>
          <w:p>
            <w:pPr>
              <w:pStyle w:val="CG-SingleSp"/>
              <w:rPr>
                <w:sz w:val="20"/>
              </w:rPr>
            </w:pPr>
            <w:r>
              <w:rPr>
                <w:sz w:val="20"/>
              </w:rPr>
              <w:t>(C) any economic or commercial index based on prices, rates, values or levels that are not within the control of any party to the relevant transaction; or</w:t>
            </w:r>
          </w:p>
          <w:p>
            <w:pPr>
              <w:pStyle w:val="CG-SingleSp"/>
              <w:spacing w:before="0" w:after="240"/>
              <w:rPr>
                <w:sz w:val="20"/>
              </w:rPr>
            </w:pPr>
            <w:r>
              <w:rPr>
                <w:sz w:val="20"/>
              </w:rPr>
              <w:t>(D) an occurrence, extent of an occurrence or contingency (other than a change in the price, rate, value or level of a commodity not described in subparagraph (A)) that is (i) beyond the control of the parties to the relevant transaction and (ii) associated with a financial, commercial or economic consequence.</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Prefer Banking version (including changing “excluded commodity” to “exclusion-eligible commodity” wherever it appears).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spacing w:before="0" w:after="240"/>
              <w:ind w:start="720" w:end="0"/>
              <w:rPr>
                <w:sz w:val="20"/>
              </w:rPr>
            </w:pPr>
            <w:r>
              <w:rPr>
                <w:sz w:val="20"/>
              </w:rPr>
              <w:t>exempt commodity</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Commodity that is not an excluded commodity or an agricultural commodity.</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 xml:space="preserve">Identical provisions.  Recommend renaming as an “exemption-eligible commodity and changing all references to “exempt commodities” to “exemption-eligible commodities”.  </w:t>
            </w:r>
          </w:p>
          <w:p>
            <w:pPr>
              <w:pStyle w:val="CG-SingleSp"/>
              <w:rPr>
                <w:sz w:val="20"/>
              </w:rPr>
            </w:pPr>
            <w:r>
              <w:rPr>
                <w:sz w:val="20"/>
              </w:rPr>
              <w:t>Recommend as a technical change replacing with the following:</w:t>
            </w:r>
          </w:p>
          <w:p>
            <w:pPr>
              <w:pStyle w:val="CG-SingleSp"/>
              <w:spacing w:before="0" w:after="240"/>
              <w:rPr>
                <w:sz w:val="20"/>
              </w:rPr>
            </w:pPr>
            <w:r>
              <w:rPr>
                <w:sz w:val="20"/>
              </w:rPr>
              <w:t>The term “exemption-eligible commodity” means a commodity that is not an exclusion-eligible commodity and is not an agricultural commodity enumerated in section 1a(3) of this Act.</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spacing w:before="0" w:after="240"/>
              <w:ind w:start="720" w:end="0"/>
              <w:rPr>
                <w:sz w:val="20"/>
              </w:rPr>
            </w:pPr>
            <w:r>
              <w:rPr>
                <w:sz w:val="20"/>
              </w:rPr>
              <w:t>financial institution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Depository institutions, “agreement corporations”, “Edge Act corporations”, institutions regulated by the Farm Credit Administration, federal or state credit unions, foreign banks or branches or agencies of foreign banks, trust companies, and similarly regulated affiliates and subsidiaries of the foregoing.</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 but also includes financial holding companies and their similarly regulated affiliates.</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Commerce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Prefer Commerce/Banking version.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spacing w:before="0" w:after="240"/>
              <w:ind w:start="720" w:end="0"/>
              <w:rPr>
                <w:sz w:val="20"/>
              </w:rPr>
            </w:pPr>
            <w:r>
              <w:rPr>
                <w:sz w:val="20"/>
              </w:rPr>
              <w:t>hybrid instrument</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Deposit offered by a financial institution or a security having one or more payments indexed to the value, level or rate of one or more commodities.</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Substantially the same as Agriculture version, but refers to instruments representing deposits instead of deposits themselves.</w:t>
            </w:r>
          </w:p>
        </w:tc>
        <w:tc>
          <w:tcPr>
            <w:tcW w:w="3758" w:type="dxa"/>
            <w:tcBorders>
              <w:top w:val="single" w:sz="4" w:space="0" w:color="000000"/>
              <w:start w:val="single" w:sz="4" w:space="0" w:color="000000"/>
              <w:bottom w:val="single" w:sz="4" w:space="0" w:color="000000"/>
              <w:end w:val="single" w:sz="4" w:space="0" w:color="000000"/>
            </w:tcBorders>
          </w:tcPr>
          <w:p>
            <w:pPr>
              <w:pStyle w:val="CG-SingleSp"/>
              <w:snapToGrid w:val="false"/>
              <w:spacing w:before="0" w:after="240"/>
              <w:rPr>
                <w:sz w:val="20"/>
              </w:rPr>
            </w:pPr>
            <w:r>
              <w:rPr>
                <w:sz w:val="20"/>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keepNext w:val="true"/>
              <w:widowControl w:val="false"/>
              <w:spacing w:before="0" w:after="240"/>
              <w:ind w:start="720" w:end="0"/>
              <w:rPr>
                <w:sz w:val="20"/>
              </w:rPr>
            </w:pPr>
            <w:r>
              <w:rPr>
                <w:sz w:val="20"/>
              </w:rPr>
              <w:t>organized exchange</w:t>
            </w:r>
          </w:p>
        </w:tc>
        <w:tc>
          <w:tcPr>
            <w:tcW w:w="3757"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 xml:space="preserve">A trading facility that </w:t>
            </w:r>
          </w:p>
          <w:p>
            <w:pPr>
              <w:pStyle w:val="CG-SingleSp"/>
              <w:rPr>
                <w:sz w:val="20"/>
              </w:rPr>
            </w:pPr>
            <w:r>
              <w:rPr>
                <w:sz w:val="20"/>
              </w:rPr>
              <w:t xml:space="preserve">(A) permits trading (i) by or on behalf of persons other than ECPs or (ii) other than on a principal-to-principal basis; or </w:t>
            </w:r>
          </w:p>
          <w:p>
            <w:pPr>
              <w:pStyle w:val="CG-SingleSp"/>
              <w:spacing w:before="0" w:after="240"/>
              <w:rPr>
                <w:sz w:val="20"/>
              </w:rPr>
            </w:pPr>
            <w:r>
              <w:rPr>
                <w:sz w:val="20"/>
              </w:rPr>
              <w:t xml:space="preserve">(B) has adopted rules that govern the conduct of participants, other than rules that govern the submission or execution of transaction on the facility, or that include disciplinary sanctions other than exclusion from trading. </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In lieu of (A) in the Agriculture version, covers a trading facility that permits trading by persons other than (i) ECPs trading on a principal-to-principal basis or (ii) ECPs that are Regulated Intermediaries acting as broker or agent for another ECP.</w:t>
            </w:r>
          </w:p>
        </w:tc>
        <w:tc>
          <w:tcPr>
            <w:tcW w:w="3758" w:type="dxa"/>
            <w:tcBorders>
              <w:top w:val="single" w:sz="4" w:space="0" w:color="000000"/>
              <w:start w:val="single" w:sz="4" w:space="0" w:color="000000"/>
              <w:bottom w:val="single" w:sz="4" w:space="0" w:color="000000"/>
              <w:end w:val="single" w:sz="4" w:space="0" w:color="000000"/>
            </w:tcBorders>
          </w:tcPr>
          <w:p>
            <w:pPr>
              <w:pStyle w:val="CG-SingleSp"/>
              <w:snapToGrid w:val="false"/>
              <w:spacing w:before="0" w:after="240"/>
              <w:ind w:start="320" w:end="0"/>
              <w:rPr>
                <w:sz w:val="20"/>
              </w:rPr>
            </w:pPr>
            <w:r>
              <w:rPr>
                <w:sz w:val="20"/>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widowControl w:val="false"/>
              <w:spacing w:before="0" w:after="240"/>
              <w:ind w:start="720" w:end="0"/>
              <w:rPr>
                <w:sz w:val="20"/>
              </w:rPr>
            </w:pPr>
            <w:r>
              <w:rPr>
                <w:sz w:val="20"/>
              </w:rPr>
              <w:t>trading facility</w:t>
            </w:r>
          </w:p>
        </w:tc>
        <w:tc>
          <w:tcPr>
            <w:tcW w:w="3757"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An electronic or physical facility in which multiple participants have the ability to execute or trade agreements by accepting bids and offers made by other participants that are open to multiple participants in the facility.</w:t>
            </w:r>
          </w:p>
          <w:p>
            <w:pPr>
              <w:pStyle w:val="CG-SingleSp"/>
              <w:rPr>
                <w:sz w:val="20"/>
              </w:rPr>
            </w:pPr>
            <w:r>
              <w:rPr>
                <w:sz w:val="20"/>
              </w:rPr>
              <w:t>Does not include:</w:t>
            </w:r>
          </w:p>
          <w:p>
            <w:pPr>
              <w:pStyle w:val="CG-SingleSp"/>
              <w:numPr>
                <w:ilvl w:val="0"/>
                <w:numId w:val="14"/>
              </w:numPr>
              <w:tabs>
                <w:tab w:val="clear" w:pos="720"/>
                <w:tab w:val="left" w:pos="425" w:leader="none"/>
              </w:tabs>
              <w:ind w:hanging="425" w:start="425" w:end="0"/>
              <w:rPr>
                <w:sz w:val="20"/>
              </w:rPr>
            </w:pPr>
            <w:r>
              <w:rPr>
                <w:sz w:val="20"/>
              </w:rPr>
              <w:t>a person or group solely because it provides a system that enables participants to negotiate and enter into bilateral transactions as a result of communications between the parties and not from the interaction of multiple orders within a predetermined, nondiscretionary automated trade matching algorithm;</w:t>
            </w:r>
          </w:p>
          <w:p>
            <w:pPr>
              <w:pStyle w:val="CG-SingleSp"/>
              <w:numPr>
                <w:ilvl w:val="0"/>
                <w:numId w:val="14"/>
              </w:numPr>
              <w:tabs>
                <w:tab w:val="clear" w:pos="720"/>
                <w:tab w:val="left" w:pos="425" w:leader="none"/>
              </w:tabs>
              <w:ind w:hanging="425" w:start="425" w:end="0"/>
              <w:rPr>
                <w:sz w:val="20"/>
              </w:rPr>
            </w:pPr>
            <w:r>
              <w:rPr>
                <w:sz w:val="20"/>
              </w:rPr>
              <w:t>a government securities broker or dealer in connection with transactions in government securities; or</w:t>
            </w:r>
          </w:p>
          <w:p>
            <w:pPr>
              <w:pStyle w:val="CG-SingleSp"/>
              <w:numPr>
                <w:ilvl w:val="0"/>
                <w:numId w:val="14"/>
              </w:numPr>
              <w:tabs>
                <w:tab w:val="clear" w:pos="720"/>
                <w:tab w:val="left" w:pos="425" w:leader="none"/>
              </w:tabs>
              <w:spacing w:before="0" w:after="240"/>
              <w:ind w:hanging="425" w:start="425" w:end="0"/>
              <w:rPr>
                <w:sz w:val="20"/>
              </w:rPr>
            </w:pPr>
            <w:r>
              <w:rPr>
                <w:sz w:val="20"/>
              </w:rPr>
              <w:t>facilities on which bids and offers, and acceptances thereof effected on the facility, are not binding.</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 but also provides that a derivatives clearing organization is not a trading facility.</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 but also provides that an electronic system that enables participants to enter into bilateral transactions and incorporates credit screening is not a trading facility.</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Recommend the following addition to the Agriculture version:</w:t>
            </w:r>
          </w:p>
          <w:p>
            <w:pPr>
              <w:pStyle w:val="CG-SingleSp"/>
              <w:spacing w:before="0" w:after="240"/>
              <w:rPr>
                <w:sz w:val="20"/>
              </w:rPr>
            </w:pPr>
            <w:r>
              <w:rPr>
                <w:sz w:val="20"/>
              </w:rPr>
              <w:t>A person or group of persons that would not otherwise constitute a trading facility will not be deemed to be a trading facility solely as a result of the submission to a derivatives clearing organization of transactions executed on or through the person or group of persons.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widowControl w:val="false"/>
              <w:rPr>
                <w:sz w:val="20"/>
                <w:u w:val="single"/>
              </w:rPr>
            </w:pPr>
            <w:r>
              <w:rPr>
                <w:sz w:val="20"/>
                <w:u w:val="single"/>
              </w:rPr>
              <w:t>Treasury Amendment</w:t>
            </w:r>
          </w:p>
          <w:p>
            <w:pPr>
              <w:pStyle w:val="CG-SingleSp"/>
              <w:spacing w:before="0" w:after="240"/>
              <w:rPr>
                <w:sz w:val="20"/>
              </w:rPr>
            </w:pPr>
            <w:r>
              <w:rPr>
                <w:sz w:val="20"/>
              </w:rPr>
              <w:t>(New section 2(c) of the CEA)</w:t>
            </w:r>
          </w:p>
        </w:tc>
        <w:tc>
          <w:tcPr>
            <w:tcW w:w="3757"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Excludes from the CEA (other than provisions relating to clearing and preemption) transactions in foreign currency, government securities, security warrants, security rights, resales of installment loan contracts, repurchase transactions in excluded commodities, and mortgages or mortgage purchase commitments.</w:t>
            </w:r>
          </w:p>
          <w:p>
            <w:pPr>
              <w:pStyle w:val="CG-SingleSp"/>
              <w:spacing w:before="0" w:after="240"/>
              <w:rPr>
                <w:sz w:val="20"/>
              </w:rPr>
            </w:pPr>
            <w:r>
              <w:rPr>
                <w:sz w:val="20"/>
              </w:rPr>
              <w:t xml:space="preserve">Does not exclude a futures contract or commodity option traded on an organized exchange.  Also does not exclude futures or commodity option transactions in foreign currency with persons other than ECPs unless the counterparty is a Regulated Intermediary. </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Substantially the same as Agriculture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 xml:space="preserve">Same as Agriculture version, but the scope of the exclusion in the Banking version is broader because the definition of organized exchange in the Banking version does not include trading facilities on which transactions may be effected by Regulated Intermediaries on behalf of ECPs. </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Prefer Agriculture/Commerce version.</w:t>
            </w:r>
          </w:p>
          <w:p>
            <w:pPr>
              <w:pStyle w:val="CG-SingleSp"/>
              <w:rPr>
                <w:sz w:val="20"/>
              </w:rPr>
            </w:pPr>
            <w:r>
              <w:rPr>
                <w:sz w:val="20"/>
              </w:rPr>
              <w:t>Recommend as a technical change replacing the lead-in to section 2(c)(1) with the following:</w:t>
            </w:r>
          </w:p>
          <w:p>
            <w:pPr>
              <w:pStyle w:val="CG-SingleSp"/>
              <w:rPr/>
            </w:pPr>
            <w:r>
              <w:rPr>
                <w:sz w:val="20"/>
              </w:rPr>
              <w:t xml:space="preserve">Except as provided in paragraph (2), nothing in this Act (other than section </w:t>
            </w:r>
            <w:r>
              <w:rPr>
                <w:b/>
                <w:sz w:val="20"/>
                <w:u w:val="single"/>
              </w:rPr>
              <w:t>5a (to the extent provided in section 5a(g)),</w:t>
            </w:r>
            <w:r>
              <w:rPr>
                <w:sz w:val="20"/>
              </w:rPr>
              <w:t xml:space="preserve"> 5b, </w:t>
            </w:r>
            <w:r>
              <w:rPr>
                <w:b/>
                <w:sz w:val="20"/>
                <w:u w:val="single"/>
              </w:rPr>
              <w:t>5d</w:t>
            </w:r>
            <w:r>
              <w:rPr>
                <w:sz w:val="20"/>
              </w:rPr>
              <w:t xml:space="preserve"> or 12(e)(2)(B)) governs or applies to an agreement, contract or transaction in—</w:t>
            </w:r>
          </w:p>
          <w:p>
            <w:pPr>
              <w:pStyle w:val="CG-SingleSp"/>
              <w:rPr>
                <w:sz w:val="20"/>
              </w:rPr>
            </w:pPr>
            <w:r>
              <w:rPr>
                <w:sz w:val="20"/>
              </w:rPr>
              <w:t>Recommend as a technical change replacing section 2(c)(2)(B)(i) with the following:</w:t>
            </w:r>
          </w:p>
          <w:p>
            <w:pPr>
              <w:pStyle w:val="CG-SingleSp"/>
              <w:spacing w:before="0" w:after="240"/>
              <w:rPr>
                <w:sz w:val="20"/>
              </w:rPr>
            </w:pPr>
            <w:r>
              <w:rPr>
                <w:sz w:val="20"/>
              </w:rPr>
              <w:t xml:space="preserve">(i) is a contract of sale for future delivery (or an option on such a contract) or an option </w:t>
            </w:r>
            <w:r>
              <w:rPr>
                <w:b/>
                <w:sz w:val="20"/>
                <w:u w:val="single"/>
              </w:rPr>
              <w:t>(other than an option executed or traded on a national securities exchange or national securities association)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rPr>
                <w:sz w:val="20"/>
                <w:u w:val="single"/>
              </w:rPr>
            </w:pPr>
            <w:r>
              <w:rPr>
                <w:sz w:val="20"/>
                <w:u w:val="single"/>
              </w:rPr>
              <w:t>Exclusion for Transactions in Excluded Commodities not on a Trading Facility</w:t>
            </w:r>
          </w:p>
          <w:p>
            <w:pPr>
              <w:pStyle w:val="CG-SingleSp"/>
              <w:spacing w:before="0" w:after="240"/>
              <w:rPr>
                <w:sz w:val="20"/>
              </w:rPr>
            </w:pPr>
            <w:r>
              <w:rPr>
                <w:sz w:val="20"/>
              </w:rPr>
              <w:t>(New section 2(d)(1) of the CEA)</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 xml:space="preserve">Excludes from the CEA (other than provisions relating to clearing and preemption) transactions in excluded commodities between ECPs that are not executed or traded on a trading facility. </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 xml:space="preserve">Would require that transactions be on a principal-to-principal basis or through a Regulated Intermediary, but this requirement appears to have been erroneously included with this exclusion instead of the exclusion for transactions on an electronic trading facility. </w:t>
            </w:r>
          </w:p>
        </w:tc>
        <w:tc>
          <w:tcPr>
            <w:tcW w:w="3758" w:type="dxa"/>
            <w:tcBorders>
              <w:top w:val="single" w:sz="4" w:space="0" w:color="000000"/>
              <w:start w:val="single" w:sz="4" w:space="0" w:color="000000"/>
              <w:bottom w:val="single" w:sz="4" w:space="0" w:color="000000"/>
              <w:end w:val="single" w:sz="4" w:space="0" w:color="000000"/>
            </w:tcBorders>
          </w:tcPr>
          <w:p>
            <w:pPr>
              <w:pStyle w:val="CG-SingleSp"/>
              <w:snapToGrid w:val="false"/>
              <w:rPr>
                <w:sz w:val="20"/>
              </w:rPr>
            </w:pPr>
            <w:r>
              <w:rPr>
                <w:sz w:val="20"/>
              </w:rPr>
            </w:r>
          </w:p>
          <w:p>
            <w:pPr>
              <w:pStyle w:val="CG-SingleSp"/>
              <w:spacing w:before="0" w:after="240"/>
              <w:rPr>
                <w:sz w:val="20"/>
              </w:rPr>
            </w:pPr>
            <w:r>
              <w:rPr>
                <w:sz w:val="20"/>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widowControl w:val="false"/>
              <w:rPr>
                <w:sz w:val="20"/>
                <w:u w:val="single"/>
              </w:rPr>
            </w:pPr>
            <w:r>
              <w:rPr>
                <w:sz w:val="20"/>
                <w:u w:val="single"/>
              </w:rPr>
              <w:t>Exclusion for Transactions in Excluded Commodities on an Electronic Trading Facility</w:t>
            </w:r>
          </w:p>
          <w:p>
            <w:pPr>
              <w:pStyle w:val="CG-SingleSp"/>
              <w:spacing w:before="0" w:after="240"/>
              <w:rPr>
                <w:sz w:val="20"/>
              </w:rPr>
            </w:pPr>
            <w:r>
              <w:rPr>
                <w:sz w:val="20"/>
              </w:rPr>
              <w:t>(New section 2(d)(2) of the CEA)</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Excludes from the CEA (other than provisions relating to clearing, preemption and opting in to regulation as a DTEF) transactions in excluded commodities on an electronic trading facility between ECPs on a principal-to-principal basis or under certain investment management or fiduciary arrangements.</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 but see above discussion.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 xml:space="preserve"> </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rPr>
                <w:sz w:val="20"/>
                <w:u w:val="single"/>
              </w:rPr>
            </w:pPr>
            <w:r>
              <w:rPr>
                <w:sz w:val="20"/>
                <w:u w:val="single"/>
              </w:rPr>
              <w:t>Excluded Electronic Trading Facility</w:t>
            </w:r>
          </w:p>
          <w:p>
            <w:pPr>
              <w:pStyle w:val="CG-SingleSp"/>
              <w:spacing w:before="0" w:after="240"/>
              <w:rPr>
                <w:sz w:val="20"/>
              </w:rPr>
            </w:pPr>
            <w:r>
              <w:rPr>
                <w:sz w:val="20"/>
              </w:rPr>
              <w:t>(New section 2(e) of the CEA)</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Excludes from the CEA (other than provisions relating to preemption) electronic trading facilities that limit authorized transactions to those that satisfy section 2(d)(2) and those involving exempt commodities.</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pPr>
            <w:r>
              <w:rPr>
                <w:sz w:val="20"/>
              </w:rPr>
              <w:t>Same as Agriculture version, but transactions in exempt commodities on the electronic trading facility must be limited to those that satisfy all requirements of section 2(h)(3) (</w:t>
            </w:r>
            <w:r>
              <w:rPr>
                <w:i/>
                <w:sz w:val="20"/>
              </w:rPr>
              <w:t>i.e.</w:t>
            </w:r>
            <w:r>
              <w:rPr>
                <w:sz w:val="20"/>
              </w:rPr>
              <w:t xml:space="preserve"> the transaction must be between ECPs).</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Prefer Commerce version.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rPr>
                <w:sz w:val="20"/>
                <w:u w:val="single"/>
              </w:rPr>
            </w:pPr>
            <w:r>
              <w:rPr>
                <w:sz w:val="20"/>
                <w:u w:val="single"/>
              </w:rPr>
              <w:t>Hybrid Instruments/Banking Products</w:t>
            </w:r>
          </w:p>
          <w:p>
            <w:pPr>
              <w:pStyle w:val="CG-SingleSp"/>
              <w:spacing w:before="0" w:after="240"/>
              <w:rPr>
                <w:sz w:val="20"/>
              </w:rPr>
            </w:pPr>
            <w:r>
              <w:rPr>
                <w:sz w:val="20"/>
              </w:rPr>
              <w:t>(New section 2(f) of the CEA)</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 xml:space="preserve">Excludes from the CEA (other than provisions relating to preemption) hybrid instruments that are predominantly a security or depository instrument. </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In addition, excludes from the CEA (other than provisions relating to preemption) any banking product or security sold or provided by Regulated Intermediaries, although a swap agreement involving a party that is not an ECP is not excluded unless entered into following the adoption of regulations by the Federal Reserve and Department of the Treasury with respect to sales practices for retail swaps.</w:t>
            </w:r>
          </w:p>
        </w:tc>
        <w:tc>
          <w:tcPr>
            <w:tcW w:w="3758" w:type="dxa"/>
            <w:tcBorders>
              <w:top w:val="single" w:sz="4" w:space="0" w:color="000000"/>
              <w:start w:val="single" w:sz="4" w:space="0" w:color="000000"/>
              <w:bottom w:val="single" w:sz="4" w:space="0" w:color="000000"/>
              <w:end w:val="single" w:sz="4" w:space="0" w:color="000000"/>
            </w:tcBorders>
          </w:tcPr>
          <w:p>
            <w:pPr>
              <w:pStyle w:val="CG-SingleSp"/>
              <w:snapToGrid w:val="false"/>
              <w:spacing w:before="0" w:after="240"/>
              <w:rPr>
                <w:sz w:val="20"/>
              </w:rPr>
            </w:pPr>
            <w:r>
              <w:rPr>
                <w:sz w:val="20"/>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widowControl w:val="false"/>
              <w:rPr>
                <w:sz w:val="20"/>
                <w:u w:val="single"/>
              </w:rPr>
            </w:pPr>
            <w:r>
              <w:rPr>
                <w:sz w:val="20"/>
                <w:u w:val="single"/>
              </w:rPr>
              <w:t>Transactions in Exempt Commodities not on a Trading Facility</w:t>
            </w:r>
          </w:p>
          <w:p>
            <w:pPr>
              <w:pStyle w:val="CG-SingleSp"/>
              <w:spacing w:before="0" w:after="240"/>
              <w:rPr>
                <w:sz w:val="20"/>
              </w:rPr>
            </w:pPr>
            <w:r>
              <w:rPr>
                <w:sz w:val="20"/>
              </w:rPr>
              <w:t>(New section 2(h)(1) of the CEA)</w:t>
            </w:r>
          </w:p>
        </w:tc>
        <w:tc>
          <w:tcPr>
            <w:tcW w:w="3757"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Except as noted below, the CEA would not apply to transactions in exempt commodities between ECPs that are not entered into on a trading facility.</w:t>
            </w:r>
          </w:p>
          <w:p>
            <w:pPr>
              <w:pStyle w:val="CG-SingleSp"/>
              <w:spacing w:before="0" w:after="240"/>
              <w:rPr>
                <w:sz w:val="20"/>
              </w:rPr>
            </w:pPr>
            <w:r>
              <w:rPr>
                <w:sz w:val="20"/>
              </w:rPr>
              <w:t xml:space="preserve">Such transactions would be subject to (i) the clearing and preemption provisions of the CEA, (ii) the CEA’s antifraud provisions, to the extent the transaction is not between eligible commercial participants and would otherwise be subject to those provisions, and (iii) the CEA’s antimanipulation provisions, to the extent the transaction would otherwise be subject to these provisions. </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Identical provisions.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rPr>
                <w:sz w:val="20"/>
                <w:u w:val="single"/>
              </w:rPr>
            </w:pPr>
            <w:r>
              <w:rPr>
                <w:sz w:val="20"/>
                <w:u w:val="single"/>
              </w:rPr>
              <w:t>Transactions in Exempt Commodities on an Electronic Trading Facility</w:t>
            </w:r>
          </w:p>
          <w:p>
            <w:pPr>
              <w:pStyle w:val="CG-SingleSp"/>
              <w:spacing w:before="0" w:after="240"/>
              <w:rPr>
                <w:sz w:val="20"/>
              </w:rPr>
            </w:pPr>
            <w:r>
              <w:rPr>
                <w:sz w:val="20"/>
              </w:rPr>
              <w:t>(New section 2(h)(3) of the CEA)</w:t>
            </w:r>
          </w:p>
        </w:tc>
        <w:tc>
          <w:tcPr>
            <w:tcW w:w="3757"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Except as noted below, the CEA would not apply to transactions in exempt commodities (other than enumerated metal commodities (aluminum, copper, gold, palladium, platinum and silver)) between ECPs that are entered into on an electronic trading facility.</w:t>
            </w:r>
          </w:p>
          <w:p>
            <w:pPr>
              <w:pStyle w:val="CG-SingleSp"/>
              <w:spacing w:before="0" w:after="240"/>
              <w:rPr>
                <w:sz w:val="20"/>
              </w:rPr>
            </w:pPr>
            <w:r>
              <w:rPr>
                <w:sz w:val="20"/>
              </w:rPr>
              <w:t>Such transactions would be subject to (i) the clearing and preemption provisions of the CEA, (ii) the CEA’s antifraud provisions, to the extent the transaction would otherwise be subject to those provisions, (iii) the CEA’s antimanipulation provisions, to the extent the transaction would otherwise be subject to those provisions and (iv) if the facility serves a price discovery function, such rules and regulations as the CFTC adopts to provide for dissemination of trading data by the facility.</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Transactions would have to be on a principal-to-principal basis.  Also, transactions in metal commodities would be eligible for the exemption.</w:t>
            </w:r>
          </w:p>
          <w:p>
            <w:pPr>
              <w:pStyle w:val="CG-SingleSp"/>
              <w:rPr>
                <w:sz w:val="20"/>
              </w:rPr>
            </w:pPr>
            <w:r>
              <w:rPr>
                <w:sz w:val="20"/>
              </w:rPr>
              <w:t xml:space="preserve">Transactions would also be subject to the provisions of the CEA relating to opting in to regulation as a DTEF.  </w:t>
            </w:r>
          </w:p>
          <w:p>
            <w:pPr>
              <w:pStyle w:val="CG-SingleSp"/>
              <w:spacing w:before="0" w:after="240"/>
              <w:rPr>
                <w:sz w:val="20"/>
              </w:rPr>
            </w:pPr>
            <w:r>
              <w:rPr>
                <w:sz w:val="20"/>
              </w:rPr>
              <w:t>Includes technical corrections to provisions relating to dissemination of trading data.</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Prefer Commerce version.</w:t>
            </w:r>
          </w:p>
          <w:p>
            <w:pPr>
              <w:pStyle w:val="CG-SingleSp"/>
              <w:rPr>
                <w:sz w:val="20"/>
              </w:rPr>
            </w:pPr>
            <w:r>
              <w:rPr>
                <w:sz w:val="20"/>
              </w:rPr>
              <w:t>Recommend as a technical change replacing section 2(h)(3)(A) with the following:</w:t>
            </w:r>
          </w:p>
          <w:p>
            <w:pPr>
              <w:pStyle w:val="CG-SingleSp"/>
              <w:rPr>
                <w:sz w:val="20"/>
              </w:rPr>
            </w:pPr>
            <w:r>
              <w:rPr>
                <w:sz w:val="20"/>
              </w:rPr>
              <w:t>entered into on a princpal to-principal basis between parties trading for their own accounts or as described in section 1a(11)(B)(ii) of this Act</w:t>
            </w:r>
          </w:p>
          <w:p>
            <w:pPr>
              <w:pStyle w:val="CG-SingleSp"/>
              <w:rPr>
                <w:sz w:val="20"/>
              </w:rPr>
            </w:pPr>
            <w:r>
              <w:rPr>
                <w:sz w:val="20"/>
              </w:rPr>
              <w:t>Recommend as a technical change replacing section 2(h)(4)(A) with the following:</w:t>
            </w:r>
          </w:p>
          <w:p>
            <w:pPr>
              <w:pStyle w:val="CG-SingleSp"/>
              <w:rPr/>
            </w:pPr>
            <w:r>
              <w:rPr>
                <w:sz w:val="20"/>
              </w:rPr>
              <w:t xml:space="preserve">sections </w:t>
            </w:r>
            <w:r>
              <w:rPr>
                <w:b/>
                <w:sz w:val="20"/>
                <w:u w:val="single"/>
              </w:rPr>
              <w:t>5a(to the extent so provided in section5a(g))</w:t>
            </w:r>
            <w:r>
              <w:rPr>
                <w:sz w:val="20"/>
              </w:rPr>
              <w:t xml:space="preserve">, 5b, </w:t>
            </w:r>
            <w:r>
              <w:rPr>
                <w:b/>
                <w:sz w:val="20"/>
                <w:u w:val="single"/>
              </w:rPr>
              <w:t>5d</w:t>
            </w:r>
            <w:r>
              <w:rPr>
                <w:sz w:val="20"/>
              </w:rPr>
              <w:t xml:space="preserve"> and 12(e)(2)(B) of the Act</w:t>
            </w:r>
          </w:p>
          <w:p>
            <w:pPr>
              <w:pStyle w:val="CG-SingleSp"/>
              <w:spacing w:before="0" w:after="240"/>
              <w:rPr>
                <w:sz w:val="20"/>
              </w:rPr>
            </w:pPr>
            <w:r>
              <w:rPr>
                <w:sz w:val="20"/>
              </w:rPr>
              <w:t>In section 2(h)(4)(D), insert “to the market” after “appropriate.”</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rPr>
                <w:sz w:val="20"/>
                <w:u w:val="single"/>
              </w:rPr>
            </w:pPr>
            <w:r>
              <w:rPr>
                <w:sz w:val="20"/>
                <w:u w:val="single"/>
              </w:rPr>
              <w:t>Application of the Act</w:t>
            </w:r>
          </w:p>
          <w:p>
            <w:pPr>
              <w:pStyle w:val="CG-SingleSp"/>
              <w:spacing w:before="0" w:after="240"/>
              <w:rPr>
                <w:sz w:val="20"/>
              </w:rPr>
            </w:pPr>
            <w:r>
              <w:rPr>
                <w:sz w:val="20"/>
              </w:rPr>
              <w:t>(New section 2(i)/(j) of the CEA)</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None</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Provides that nothing in the CEA would be construed as (i) implying or creating any presumption that a transaction eligible or ineligible for an exclusion or exemption under the CEA is or would otherwise be subject to the CEA or (ii) as conferring jurisdiction on the CFTC with respect to such a transaction, except as provided in the clearing provisions of the CEA and the provisions for opting in to regulation as a DTEF.</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Substantially the same as Commerce version, but does not carve out provisions for opting in to regulation as a DTEF.</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Prefer Commerce version, with the following technical correction:</w:t>
            </w:r>
          </w:p>
          <w:p>
            <w:pPr>
              <w:pStyle w:val="CG-SingleSp"/>
              <w:spacing w:before="0" w:after="240"/>
              <w:rPr>
                <w:sz w:val="20"/>
              </w:rPr>
            </w:pPr>
            <w:r>
              <w:rPr>
                <w:b/>
                <w:color w:val="000000"/>
                <w:sz w:val="20"/>
                <w:u w:val="single"/>
                <w:lang w:eastAsia="en-US"/>
              </w:rPr>
              <w:t>(1)</w:t>
            </w:r>
            <w:r>
              <w:rPr>
                <w:color w:val="000000"/>
                <w:sz w:val="20"/>
                <w:lang w:eastAsia="en-US"/>
              </w:rPr>
              <w:t xml:space="preserve"> No provision of this Act shall be construed as </w:t>
            </w:r>
            <w:r>
              <w:rPr>
                <w:strike/>
                <w:color w:val="000000"/>
                <w:sz w:val="20"/>
                <w:lang w:eastAsia="en-US"/>
              </w:rPr>
              <w:t>(1)</w:t>
            </w:r>
            <w:r>
              <w:rPr>
                <w:color w:val="000000"/>
                <w:sz w:val="20"/>
                <w:lang w:eastAsia="en-US"/>
              </w:rPr>
              <w:t xml:space="preserve"> implying or creating any presumption that (A) any agreement, contract or transaction that is eligible for an exclusion or exemption from regulation under this Act or (B) any agreement, contract or transaction that is not eligible for an exclusion or exemption from regulation under this Act, is or would otherwise be subject to this Act; </w:t>
            </w:r>
            <w:r>
              <w:rPr>
                <w:b/>
                <w:color w:val="000000"/>
                <w:sz w:val="20"/>
                <w:u w:val="single"/>
                <w:lang w:eastAsia="en-US"/>
              </w:rPr>
              <w:t>and</w:t>
            </w:r>
            <w:r>
              <w:rPr>
                <w:color w:val="000000"/>
                <w:sz w:val="20"/>
                <w:lang w:eastAsia="en-US"/>
              </w:rPr>
              <w:t xml:space="preserve"> (2) </w:t>
            </w:r>
            <w:r>
              <w:rPr>
                <w:b/>
                <w:color w:val="000000"/>
                <w:sz w:val="20"/>
                <w:u w:val="single"/>
                <w:lang w:eastAsia="en-US"/>
              </w:rPr>
              <w:t>no provision of the Commodity Futures Modernization Act of 2000</w:t>
            </w:r>
            <w:r>
              <w:rPr>
                <w:color w:val="000000"/>
                <w:sz w:val="20"/>
                <w:lang w:eastAsia="en-US"/>
              </w:rPr>
              <w:t xml:space="preserve"> shall be construed as conferring jurisdiction on the Commission with respect to any such agreement, contract or transaction, except as expressly provided in section 5a(to the extent so provided in section 5a(g)), 5b or </w:t>
            </w:r>
            <w:r>
              <w:rPr>
                <w:b/>
                <w:color w:val="000000"/>
                <w:sz w:val="20"/>
                <w:u w:val="single"/>
                <w:lang w:eastAsia="en-US"/>
              </w:rPr>
              <w:t>5d</w:t>
            </w:r>
            <w:r>
              <w:rPr>
                <w:color w:val="000000"/>
                <w:sz w:val="20"/>
                <w:lang w:eastAsia="en-US"/>
              </w:rPr>
              <w:t>)) of this Act.</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rPr>
                <w:sz w:val="20"/>
                <w:u w:val="single"/>
              </w:rPr>
            </w:pPr>
            <w:r>
              <w:rPr>
                <w:sz w:val="20"/>
                <w:u w:val="single"/>
              </w:rPr>
              <w:t>Exclusion for Swap Transactions</w:t>
            </w:r>
          </w:p>
          <w:p>
            <w:pPr>
              <w:pStyle w:val="CG-SingleSp"/>
              <w:spacing w:before="0" w:after="240"/>
              <w:rPr>
                <w:sz w:val="20"/>
              </w:rPr>
            </w:pPr>
            <w:r>
              <w:rPr>
                <w:sz w:val="20"/>
              </w:rPr>
              <w:t>(New section 2(i) of the CEA)</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None</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None</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Excludes from the CEA (other than clearing and preemption provisions) any transaction involving a non-agricultural commodity between ECPs the material economic terms of which are subject to individual negotiation and are not specified by the rules, terms or conditions of a trading facility.  Does not apply to transactions on a contract market or DTEF.</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Recommend the following modification to the Banking version:</w:t>
            </w:r>
          </w:p>
          <w:p>
            <w:pPr>
              <w:pStyle w:val="CG-SingleSp"/>
              <w:spacing w:before="0" w:after="240"/>
              <w:rPr>
                <w:sz w:val="20"/>
              </w:rPr>
            </w:pPr>
            <w:r>
              <w:rPr>
                <w:sz w:val="20"/>
              </w:rPr>
              <w:t>No provision of the CEA (other than section 5a (to the extent so provided in section 5a(g)), 5b, 5d and 12(e)(2)(B)) shall apply to or govern any agreement, contract or transaction in a commodity other than an agricultural commodity if (i) the agreement, contract or transaction is entered into solely between eligible contract participants at the time they enter into the agreement, contract or transaction; and (ii) each of the material economic terms of the agreement, contract or transaction is subject to individual negotiation.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widowControl w:val="false"/>
              <w:rPr>
                <w:sz w:val="20"/>
                <w:u w:val="single"/>
              </w:rPr>
            </w:pPr>
            <w:r>
              <w:rPr>
                <w:sz w:val="20"/>
                <w:u w:val="single"/>
              </w:rPr>
              <w:t>Preemption</w:t>
            </w:r>
          </w:p>
          <w:p>
            <w:pPr>
              <w:pStyle w:val="CG-SingleSp"/>
              <w:spacing w:before="0" w:after="240"/>
              <w:rPr>
                <w:sz w:val="20"/>
              </w:rPr>
            </w:pPr>
            <w:r>
              <w:rPr>
                <w:sz w:val="20"/>
              </w:rPr>
              <w:t>(Section 12(e)(2) of the CEA)</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Preempts application of federal and state law in the case of a transaction on a contract market, DTEF, exempt board of trade, or foreign board of trade, and preempts state gaming and bucket shop laws for electronic trading facilities and excluded and exempt transactions under sections 2(c), (d), (f) or (h) or under CFTC rules pursuant to section 4(c) of the CEA.</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 with technical corrections.</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Recommend the following clarification:</w:t>
            </w:r>
          </w:p>
          <w:p>
            <w:pPr>
              <w:pStyle w:val="CG-SingleSp"/>
              <w:spacing w:before="0" w:after="0"/>
              <w:rPr>
                <w:sz w:val="20"/>
              </w:rPr>
            </w:pPr>
            <w:r>
              <w:rPr>
                <w:sz w:val="20"/>
              </w:rPr>
              <w:t>[the] CEA shall supersede and preempt—</w:t>
            </w:r>
          </w:p>
          <w:p>
            <w:pPr>
              <w:pStyle w:val="CG-SingleSp"/>
              <w:spacing w:before="0" w:after="0"/>
              <w:rPr>
                <w:sz w:val="20"/>
              </w:rPr>
            </w:pPr>
            <w:r>
              <w:rPr>
                <w:sz w:val="20"/>
              </w:rPr>
              <w:t>(A) any Federal or State law (including any regulation), in the case of any agreement, contract or transaction—</w:t>
            </w:r>
          </w:p>
          <w:p>
            <w:pPr>
              <w:pStyle w:val="CG-SingleSp"/>
              <w:spacing w:before="0" w:after="0"/>
              <w:ind w:start="230" w:end="0"/>
              <w:rPr>
                <w:sz w:val="20"/>
              </w:rPr>
            </w:pPr>
            <w:r>
              <w:rPr>
                <w:sz w:val="20"/>
              </w:rPr>
              <w:t>(i) that is conducted on or subject to the rules of a registered entity or exempt board of trade;</w:t>
            </w:r>
          </w:p>
          <w:p>
            <w:pPr>
              <w:pStyle w:val="CG-SingleSp"/>
              <w:spacing w:before="0" w:after="0"/>
              <w:ind w:start="230" w:end="0"/>
              <w:rPr>
                <w:sz w:val="20"/>
              </w:rPr>
            </w:pPr>
            <w:r>
              <w:rPr>
                <w:sz w:val="20"/>
              </w:rPr>
              <w:t>(ii) that is conducted on or subject to the rules of any board of trade, exchange or market located outside the United States, or any territory or possession of the United States (in accordance with any terms or conditions specified by the CFTC by regulation); or</w:t>
            </w:r>
          </w:p>
          <w:p>
            <w:pPr>
              <w:pStyle w:val="CG-SingleSp"/>
              <w:spacing w:before="0" w:after="0"/>
              <w:ind w:start="230" w:end="0"/>
              <w:rPr>
                <w:sz w:val="20"/>
              </w:rPr>
            </w:pPr>
            <w:r>
              <w:rPr>
                <w:sz w:val="20"/>
              </w:rPr>
              <w:t>(iii) that is subject to regulation by the CFTC under section 4c or 19; and</w:t>
            </w:r>
          </w:p>
          <w:p>
            <w:pPr>
              <w:pStyle w:val="CG-SingleSp"/>
              <w:spacing w:before="0" w:after="0"/>
              <w:rPr>
                <w:sz w:val="20"/>
              </w:rPr>
            </w:pPr>
            <w:r>
              <w:rPr>
                <w:sz w:val="20"/>
              </w:rPr>
              <w:t>(B) any State or local law that prohibits or regulates gaming or the operation of bucket shops (other than antifraud provisions of general applicability), [or that relates to the registration or regulation of intermediaries otherwise subject to regulation in that capacity under federal law], in the case of—</w:t>
            </w:r>
          </w:p>
          <w:p>
            <w:pPr>
              <w:pStyle w:val="CG-SingleSp"/>
              <w:spacing w:before="0" w:after="0"/>
              <w:ind w:start="230" w:end="0"/>
              <w:rPr>
                <w:sz w:val="20"/>
              </w:rPr>
            </w:pPr>
            <w:r>
              <w:rPr>
                <w:sz w:val="20"/>
              </w:rPr>
              <w:t>(i) an electronic trading facility excluded under section 2(e); or</w:t>
            </w:r>
          </w:p>
          <w:p>
            <w:pPr>
              <w:pStyle w:val="CG-SingleSp"/>
              <w:spacing w:before="0" w:after="0"/>
              <w:ind w:start="230" w:end="0"/>
              <w:rPr>
                <w:sz w:val="20"/>
              </w:rPr>
            </w:pPr>
            <w:r>
              <w:rPr>
                <w:sz w:val="20"/>
              </w:rPr>
              <w:t>(ii) an agreement, contract or transaction that is excluded or exempt under sections 2(c), 2(d), 2(f), or 2(i) or is covered by the terms of an exemption granted by the CFTC under section 4(c) (regardless of whether any such agreement, contract or transaction is otherwise subject to the CEA).</w:t>
            </w:r>
          </w:p>
          <w:p>
            <w:pPr>
              <w:pStyle w:val="CG-SingleSp"/>
              <w:spacing w:before="0" w:after="0"/>
              <w:ind w:start="230" w:end="0"/>
              <w:rPr>
                <w:sz w:val="20"/>
              </w:rPr>
            </w:pPr>
            <w:r>
              <w:rPr>
                <w:sz w:val="20"/>
              </w:rPr>
            </w:r>
          </w:p>
          <w:p>
            <w:pPr>
              <w:pStyle w:val="CG-SingleSp"/>
              <w:spacing w:before="0" w:after="0"/>
              <w:ind w:start="50" w:end="0"/>
              <w:rPr>
                <w:sz w:val="20"/>
              </w:rPr>
            </w:pPr>
            <w:r>
              <w:rPr>
                <w:sz w:val="20"/>
              </w:rPr>
            </w:r>
          </w:p>
          <w:p>
            <w:pPr>
              <w:pStyle w:val="CG-SingleSp"/>
              <w:spacing w:before="0" w:after="0"/>
              <w:ind w:start="50" w:end="0"/>
              <w:rPr>
                <w:sz w:val="20"/>
              </w:rPr>
            </w:pPr>
            <w:r>
              <w:rPr>
                <w:sz w:val="20"/>
              </w:rPr>
            </w:r>
          </w:p>
          <w:p>
            <w:pPr>
              <w:pStyle w:val="CG-SingleSp"/>
              <w:spacing w:before="0" w:after="0"/>
              <w:ind w:start="50" w:end="0"/>
              <w:rPr>
                <w:sz w:val="20"/>
              </w:rPr>
            </w:pPr>
            <w:r>
              <w:rPr>
                <w:sz w:val="20"/>
              </w:rPr>
            </w:r>
          </w:p>
          <w:p>
            <w:pPr>
              <w:pStyle w:val="CG-SingleSp"/>
              <w:spacing w:before="0" w:after="0"/>
              <w:ind w:start="50" w:end="0"/>
              <w:rPr>
                <w:sz w:val="20"/>
              </w:rPr>
            </w:pPr>
            <w:r>
              <w:rPr>
                <w:sz w:val="20"/>
              </w:rPr>
              <w:t>In addition, recommend making related changes to the Securities Exchange Act of 1934 by inserting the following new provision:</w:t>
            </w:r>
          </w:p>
          <w:p>
            <w:pPr>
              <w:pStyle w:val="CG-SingleSp"/>
              <w:spacing w:before="0" w:after="0"/>
              <w:ind w:start="50" w:end="0"/>
              <w:rPr>
                <w:sz w:val="20"/>
              </w:rPr>
            </w:pPr>
            <w:r>
              <w:rPr>
                <w:sz w:val="20"/>
              </w:rPr>
            </w:r>
          </w:p>
          <w:p>
            <w:pPr>
              <w:pStyle w:val="CG-SingleSp"/>
              <w:ind w:start="50" w:end="0"/>
              <w:rPr>
                <w:sz w:val="20"/>
              </w:rPr>
            </w:pPr>
            <w:r>
              <w:rPr>
                <w:sz w:val="20"/>
              </w:rPr>
              <w:t>Sec. (  ).  PREEMPTION OF STATE GAMING AND BUCKET SHOP LAWS.  Section 28(a) of the Securities Exchange Act of 1934 is amended in the last sentence thereof—</w:t>
            </w:r>
          </w:p>
          <w:p>
            <w:pPr>
              <w:pStyle w:val="CG-SingleSp"/>
              <w:ind w:start="50" w:end="0"/>
              <w:rPr>
                <w:sz w:val="20"/>
              </w:rPr>
            </w:pPr>
            <w:r>
              <w:rPr>
                <w:sz w:val="20"/>
              </w:rPr>
              <w:t xml:space="preserve">(i) by inserting “subject to this title” following “privilege, or other security”; </w:t>
            </w:r>
          </w:p>
          <w:p>
            <w:pPr>
              <w:pStyle w:val="CG-SingleSp"/>
              <w:ind w:start="50" w:end="0"/>
              <w:rPr>
                <w:sz w:val="20"/>
              </w:rPr>
            </w:pPr>
            <w:r>
              <w:rPr>
                <w:sz w:val="20"/>
              </w:rPr>
              <w:t>(ii) by striking “any such instrument” and inserting “any such security”; and</w:t>
            </w:r>
          </w:p>
          <w:p>
            <w:pPr>
              <w:pStyle w:val="CG-SingleSp"/>
              <w:spacing w:before="0" w:after="0"/>
              <w:ind w:start="50" w:end="0"/>
              <w:rPr>
                <w:sz w:val="20"/>
              </w:rPr>
            </w:pPr>
            <w:r>
              <w:rPr>
                <w:sz w:val="20"/>
              </w:rPr>
              <w:t>(iii) by striking “if such instrument is traded pursuant to rules and regulations of a self-regulatory organization that are filed with the Commission pursuant to Section 19(b) of this Act”.</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widowControl w:val="false"/>
              <w:rPr>
                <w:sz w:val="20"/>
                <w:u w:val="single"/>
              </w:rPr>
            </w:pPr>
            <w:r>
              <w:rPr>
                <w:sz w:val="20"/>
                <w:u w:val="single"/>
              </w:rPr>
              <w:t>Contract Repudiation</w:t>
            </w:r>
          </w:p>
          <w:p>
            <w:pPr>
              <w:pStyle w:val="CG-SingleSp"/>
              <w:spacing w:before="0" w:after="240"/>
              <w:rPr>
                <w:sz w:val="20"/>
              </w:rPr>
            </w:pPr>
            <w:r>
              <w:rPr>
                <w:sz w:val="20"/>
              </w:rPr>
              <w:t>(Section 22(a)(4) of the CEA)</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 transaction between ECPs is void, voidable or unenforceable, and no such ECP can rescind or recover a payment such a transaction, under section 22 of the CEA based solely on the failure of the transaction to comply with the terms of an exemption or exclusion from the CEA or CFTC rules.</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Same as Agriculture version, but also applies to persons reasonably believed by their counterparty to be ECPs.</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pPr>
            <w:r>
              <w:rPr>
                <w:sz w:val="20"/>
              </w:rPr>
              <w:t xml:space="preserve">Same as Agriculture version, but also applies to transactions involving Regulated Intermediaries and provides that a transaction is not void, voidable or unenforceable and cannot be rescinded under </w:t>
            </w:r>
            <w:r>
              <w:rPr>
                <w:b/>
                <w:sz w:val="20"/>
                <w:u w:val="single"/>
              </w:rPr>
              <w:t>any other provision of federal or state law</w:t>
            </w:r>
            <w:r>
              <w:rPr>
                <w:sz w:val="20"/>
              </w:rPr>
              <w:t xml:space="preserve"> based solely on a failure to comply with the terms of an exemption or exclusion from the CEA or CFTC rules.  The contract repudiation provision would not apply to swaps with non-ECPs entered into prior to the adoption by the Federal Reserve and the Department of the Treasury of regulations with respect to retail sales practices for such transactions.</w:t>
            </w:r>
          </w:p>
        </w:tc>
        <w:tc>
          <w:tcPr>
            <w:tcW w:w="3758" w:type="dxa"/>
            <w:tcBorders>
              <w:top w:val="single" w:sz="4" w:space="0" w:color="000000"/>
              <w:start w:val="single" w:sz="4" w:space="0" w:color="000000"/>
              <w:bottom w:val="single" w:sz="4" w:space="0" w:color="000000"/>
              <w:end w:val="single" w:sz="4" w:space="0" w:color="000000"/>
            </w:tcBorders>
          </w:tcPr>
          <w:p>
            <w:pPr>
              <w:pStyle w:val="CG-SingleSp"/>
              <w:rPr>
                <w:sz w:val="20"/>
              </w:rPr>
            </w:pPr>
            <w:r>
              <w:rPr>
                <w:sz w:val="20"/>
              </w:rPr>
              <w:t>Recommend the following clarification based on the Banking version:</w:t>
            </w:r>
          </w:p>
          <w:p>
            <w:pPr>
              <w:pStyle w:val="CG-SingleSp"/>
              <w:spacing w:before="0" w:after="240"/>
              <w:rPr>
                <w:sz w:val="20"/>
              </w:rPr>
            </w:pPr>
            <w:r>
              <w:rPr>
                <w:sz w:val="20"/>
              </w:rPr>
              <w:t>No agreement, contract or transaction between eligible contract participants or persons reasonably believed by the counterparty to be eligible contract participants shall be void, voidable or unenforceable, and no such party shall be entitled to rescind, or recover any payment made with respect to, such an agreement, contract or transaction, under this section or any other provision of federal or state law, based solely on the failure of the agreement, contract or transaction to comply with the terms or conditions of an exemption or exclusion from any provision of the CEA or CFTC rules.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widowControl w:val="false"/>
              <w:spacing w:before="0" w:after="240"/>
              <w:rPr>
                <w:sz w:val="20"/>
                <w:u w:val="single"/>
              </w:rPr>
            </w:pPr>
            <w:r>
              <w:rPr>
                <w:sz w:val="20"/>
                <w:u w:val="single"/>
              </w:rPr>
              <w:t>Retail Fraud</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None.</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None.</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Prohibits “retail derivatives fraud,” which is defined as fraud on a counterparty other than an ECP to an agreement, contract, transaction, warrant, note or option (other than securities and non-excluded futures contracts and options thereon) that is based, in whole or in part, on the value of any interest in, or a quantitative measure relating to, one or more commodities, securities, interest rates, indices, other assets or occurrences.  Federal banking regulators, CFTC and SEC given enforcement authority over persons within their jurisdiction.</w:t>
            </w:r>
          </w:p>
        </w:tc>
        <w:tc>
          <w:tcPr>
            <w:tcW w:w="37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Prefer no provision. (Agriculture/Commerce version)</w:t>
            </w:r>
          </w:p>
          <w:p>
            <w:pPr>
              <w:pStyle w:val="CG-SingleSp"/>
              <w:spacing w:before="0" w:after="240"/>
              <w:rPr>
                <w:sz w:val="20"/>
              </w:rPr>
            </w:pPr>
            <w:r>
              <w:rPr>
                <w:sz w:val="20"/>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CG-SingleSp"/>
              <w:rPr>
                <w:sz w:val="20"/>
                <w:u w:val="single"/>
              </w:rPr>
            </w:pPr>
            <w:r>
              <w:rPr>
                <w:sz w:val="20"/>
                <w:u w:val="single"/>
              </w:rPr>
              <w:t>Retail Swap Customer Protections</w:t>
            </w:r>
          </w:p>
          <w:p>
            <w:pPr>
              <w:pStyle w:val="CG-SingleSp"/>
              <w:spacing w:before="0" w:after="240"/>
              <w:rPr>
                <w:sz w:val="20"/>
              </w:rPr>
            </w:pPr>
            <w:r>
              <w:rPr>
                <w:sz w:val="20"/>
              </w:rPr>
              <w:t>New section 49 of Federal Deposit Insurance Act</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None.</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None.</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rPr>
                <w:sz w:val="20"/>
              </w:rPr>
            </w:pPr>
            <w:r>
              <w:rPr>
                <w:sz w:val="20"/>
              </w:rPr>
              <w:t>Federal Reserve and Department of the Treasury may in consultation with other federal banking regulators, SEC and CFTC, jointly prescribe customer protection regulations applicable to sales practices for swap agreements between Regulated Intermediaries and customers that are not ECPs.  Federal banking regulators, CFTC, SEC and state insurance regulators are given enforcement authority with respect to such regulations over persons within their jurisdiction.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napToGrid w:val="false"/>
              <w:rPr>
                <w:sz w:val="20"/>
              </w:rPr>
            </w:pPr>
            <w:r>
              <w:rPr>
                <w:sz w:val="20"/>
              </w:rPr>
            </w:r>
          </w:p>
          <w:p>
            <w:pPr>
              <w:pStyle w:val="CG-SingleSp"/>
              <w:spacing w:before="0" w:after="240"/>
              <w:rPr>
                <w:sz w:val="20"/>
              </w:rPr>
            </w:pPr>
            <w:r>
              <w:rPr>
                <w:sz w:val="20"/>
              </w:rPr>
            </w:r>
          </w:p>
        </w:tc>
      </w:tr>
    </w:tbl>
    <w:p>
      <w:pPr>
        <w:pStyle w:val="Normal"/>
        <w:rPr>
          <w:sz w:val="20"/>
        </w:rPr>
      </w:pPr>
      <w:r>
        <w:rPr>
          <w:sz w:val="20"/>
        </w:rPr>
      </w:r>
    </w:p>
    <w:sectPr>
      <w:headerReference w:type="default" r:id="rId2"/>
      <w:headerReference w:type="first" r:id="rId3"/>
      <w:footerReference w:type="default" r:id="rId4"/>
      <w:footerReference w:type="first" r:id="rId5"/>
      <w:type w:val="nextPage"/>
      <w:pgSz w:orient="landscape" w:w="20160" w:h="122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7388" w:type="dxa"/>
      <w:jc w:val="start"/>
      <w:tblInd w:w="0" w:type="dxa"/>
      <w:tblLayout w:type="fixed"/>
      <w:tblCellMar>
        <w:top w:w="0" w:type="dxa"/>
        <w:start w:w="108" w:type="dxa"/>
        <w:bottom w:w="0" w:type="dxa"/>
        <w:end w:w="108" w:type="dxa"/>
      </w:tblCellMar>
    </w:tblPr>
    <w:tblGrid>
      <w:gridCol w:w="5796"/>
      <w:gridCol w:w="5796"/>
      <w:gridCol w:w="5796"/>
    </w:tblGrid>
    <w:tr>
      <w:trPr>
        <w:trHeight w:val="480" w:hRule="exact"/>
      </w:trPr>
      <w:tc>
        <w:tcPr>
          <w:tcW w:w="5796"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5796" w:type="dxa"/>
          <w:tcBorders/>
        </w:tcPr>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15</w:t>
          </w:r>
          <w:r>
            <w:rPr>
              <w:rStyle w:val="PageNumber"/>
              <w:sz w:val="20"/>
            </w:rPr>
            <w:fldChar w:fldCharType="end"/>
          </w:r>
        </w:p>
        <w:p>
          <w:pPr>
            <w:pStyle w:val="Footer"/>
            <w:jc w:val="end"/>
            <w:rPr>
              <w:rStyle w:val="PageNumber"/>
              <w:sz w:val="20"/>
            </w:rPr>
          </w:pPr>
          <w:r>
            <w:rPr/>
          </w:r>
        </w:p>
      </w:tc>
      <w:tc>
        <w:tcPr>
          <w:tcW w:w="5796" w:type="dxa"/>
          <w:tcBorders/>
        </w:tcPr>
        <w:p>
          <w:pPr>
            <w:pStyle w:val="Footer"/>
            <w:jc w:val="end"/>
            <w:rPr/>
          </w:pPr>
          <w:r>
            <w:rPr>
              <w:rStyle w:val="FooterRightSideText"/>
              <w:sz w:val="20"/>
            </w:rPr>
            <w:t>FINAL August 31, 2000</w:t>
          </w:r>
        </w:p>
      </w:tc>
    </w:tr>
  </w:tbl>
  <w:p>
    <w:pPr>
      <w:pStyle w:val="Footer"/>
      <w:spacing w:lineRule="exact" w:line="60"/>
      <w:rPr>
        <w:rStyle w:val="FooterRightSideText"/>
        <w:sz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7388" w:type="dxa"/>
      <w:jc w:val="start"/>
      <w:tblInd w:w="0" w:type="dxa"/>
      <w:tblLayout w:type="fixed"/>
      <w:tblCellMar>
        <w:top w:w="0" w:type="dxa"/>
        <w:start w:w="108" w:type="dxa"/>
        <w:bottom w:w="0" w:type="dxa"/>
        <w:end w:w="108" w:type="dxa"/>
      </w:tblCellMar>
    </w:tblPr>
    <w:tblGrid>
      <w:gridCol w:w="5796"/>
      <w:gridCol w:w="5796"/>
      <w:gridCol w:w="5796"/>
    </w:tblGrid>
    <w:tr>
      <w:trPr>
        <w:trHeight w:val="480" w:hRule="exact"/>
      </w:trPr>
      <w:tc>
        <w:tcPr>
          <w:tcW w:w="5796"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5796" w:type="dxa"/>
          <w:tcBorders/>
        </w:tcPr>
        <w:p>
          <w:pPr>
            <w:pStyle w:val="Footer"/>
            <w:snapToGrid w:val="false"/>
            <w:jc w:val="center"/>
            <w:rPr>
              <w:rStyle w:val="iManageFooter"/>
            </w:rPr>
          </w:pPr>
          <w:r>
            <w:rPr/>
          </w:r>
        </w:p>
      </w:tc>
      <w:tc>
        <w:tcPr>
          <w:tcW w:w="5796"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7478" w:type="dxa"/>
      <w:jc w:val="start"/>
      <w:tblInd w:w="0" w:type="dxa"/>
      <w:tblLayout w:type="fixed"/>
      <w:tblCellMar>
        <w:top w:w="0" w:type="dxa"/>
        <w:start w:w="108" w:type="dxa"/>
        <w:bottom w:w="0" w:type="dxa"/>
        <w:end w:w="108" w:type="dxa"/>
      </w:tblCellMar>
    </w:tblPr>
    <w:tblGrid>
      <w:gridCol w:w="2448"/>
      <w:gridCol w:w="3757"/>
      <w:gridCol w:w="3758"/>
      <w:gridCol w:w="3757"/>
      <w:gridCol w:w="3758"/>
    </w:tblGrid>
    <w:tr>
      <w:trPr/>
      <w:tc>
        <w:tcPr>
          <w:tcW w:w="2448" w:type="dxa"/>
          <w:tcBorders>
            <w:top w:val="single" w:sz="4" w:space="0" w:color="000000"/>
            <w:start w:val="single" w:sz="4" w:space="0" w:color="000000"/>
            <w:bottom w:val="single" w:sz="4" w:space="0" w:color="000000"/>
            <w:end w:val="single" w:sz="4" w:space="0" w:color="000000"/>
          </w:tcBorders>
        </w:tcPr>
        <w:p>
          <w:pPr>
            <w:pStyle w:val="CG-SingleSp"/>
            <w:spacing w:before="0" w:after="240"/>
            <w:jc w:val="center"/>
            <w:rPr/>
          </w:pPr>
          <w:r>
            <w:rPr>
              <w:sz w:val="20"/>
            </w:rPr>
            <w:br/>
          </w:r>
          <w:r>
            <w:rPr>
              <w:sz w:val="20"/>
              <w:u w:val="single"/>
            </w:rPr>
            <w:t>Provision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jc w:val="center"/>
            <w:rPr>
              <w:sz w:val="20"/>
            </w:rPr>
          </w:pPr>
          <w:r>
            <w:rPr>
              <w:sz w:val="20"/>
              <w:u w:val="single"/>
            </w:rPr>
            <w:br/>
            <w:t>Agriculture Committee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jc w:val="center"/>
            <w:rPr>
              <w:sz w:val="20"/>
            </w:rPr>
          </w:pPr>
          <w:r>
            <w:rPr>
              <w:sz w:val="20"/>
              <w:u w:val="single"/>
            </w:rPr>
            <w:br/>
            <w:t>Commerce Committee Version</w:t>
          </w:r>
        </w:p>
      </w:tc>
      <w:tc>
        <w:tcPr>
          <w:tcW w:w="3757" w:type="dxa"/>
          <w:tcBorders>
            <w:top w:val="single" w:sz="4" w:space="0" w:color="000000"/>
            <w:start w:val="single" w:sz="4" w:space="0" w:color="000000"/>
            <w:bottom w:val="single" w:sz="4" w:space="0" w:color="000000"/>
            <w:end w:val="single" w:sz="4" w:space="0" w:color="000000"/>
          </w:tcBorders>
        </w:tcPr>
        <w:p>
          <w:pPr>
            <w:pStyle w:val="CG-SingleSp"/>
            <w:spacing w:before="0" w:after="240"/>
            <w:jc w:val="center"/>
            <w:rPr>
              <w:sz w:val="20"/>
            </w:rPr>
          </w:pPr>
          <w:r>
            <w:rPr>
              <w:sz w:val="20"/>
              <w:u w:val="single"/>
            </w:rPr>
            <w:br/>
            <w:t>Banking Committee Version</w:t>
          </w:r>
        </w:p>
      </w:tc>
      <w:tc>
        <w:tcPr>
          <w:tcW w:w="3758" w:type="dxa"/>
          <w:tcBorders>
            <w:top w:val="single" w:sz="4" w:space="0" w:color="000000"/>
            <w:start w:val="single" w:sz="4" w:space="0" w:color="000000"/>
            <w:bottom w:val="single" w:sz="4" w:space="0" w:color="000000"/>
            <w:end w:val="single" w:sz="4" w:space="0" w:color="000000"/>
          </w:tcBorders>
        </w:tcPr>
        <w:p>
          <w:pPr>
            <w:pStyle w:val="CG-SingleSp"/>
            <w:spacing w:before="0" w:after="240"/>
            <w:jc w:val="center"/>
            <w:rPr/>
          </w:pPr>
          <w:r>
            <w:rPr>
              <w:sz w:val="20"/>
            </w:rPr>
            <w:t>Comments/</w:t>
            <w:br/>
          </w:r>
          <w:r>
            <w:rPr>
              <w:sz w:val="20"/>
              <w:u w:val="single"/>
            </w:rPr>
            <w:t>Proposed Resolution</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lang w:eastAsia="en-US"/>
      </w:rPr>
      <w:t>**FINAL**</w:t>
    </w:r>
    <w:r>
      <w:rPr>
        <w:sz w:val="20"/>
      </w:rPr>
      <w:t xml:space="preserve"> August 31,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start"/>
      <w:pPr>
        <w:tabs>
          <w:tab w:val="num" w:pos="720"/>
        </w:tabs>
        <w:ind w:start="720" w:hanging="720"/>
      </w:pPr>
      <w:rPr/>
    </w:lvl>
  </w:abstractNum>
  <w:abstractNum w:abstractNumId="7">
    <w:lvl w:ilvl="0">
      <w:start w:val="1"/>
      <w:numFmt w:val="lowerRoman"/>
      <w:lvlText w:val="(%1)"/>
      <w:lvlJc w:val="end"/>
      <w:pPr>
        <w:tabs>
          <w:tab w:val="num" w:pos="504"/>
        </w:tabs>
        <w:ind w:start="504" w:hanging="216"/>
      </w:pPr>
    </w:lvl>
  </w:abstractNum>
  <w:abstractNum w:abstractNumId="8">
    <w:lvl w:ilvl="0">
      <w:start w:val="1"/>
      <w:numFmt w:val="lowerRoman"/>
      <w:lvlText w:val="(%1)"/>
      <w:lvlJc w:val="start"/>
      <w:pPr>
        <w:tabs>
          <w:tab w:val="num" w:pos="720"/>
        </w:tabs>
        <w:ind w:start="720" w:hanging="720"/>
      </w:pPr>
      <w:r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upperRoman"/>
      <w:lvlText w:val="%1."/>
      <w:lvlJc w:val="start"/>
      <w:pPr>
        <w:tabs>
          <w:tab w:val="num" w:pos="720"/>
        </w:tabs>
        <w:ind w:start="720" w:hanging="720"/>
      </w:pPr>
    </w:lvl>
  </w:abstractNum>
  <w:abstractNum w:abstractNumId="11">
    <w:lvl w:ilvl="0">
      <w:start w:val="1"/>
      <w:numFmt w:val="lowerRoman"/>
      <w:lvlText w:val="(%1)"/>
      <w:lvlJc w:val="start"/>
      <w:pPr>
        <w:tabs>
          <w:tab w:val="num" w:pos="720"/>
        </w:tabs>
        <w:ind w:start="720" w:hanging="720"/>
      </w:pPr>
      <w:rPr/>
    </w:lvl>
  </w:abstractNum>
  <w:abstractNum w:abstractNumId="12">
    <w:lvl w:ilvl="0">
      <w:start w:val="1"/>
      <w:numFmt w:val="lowerRoman"/>
      <w:lvlText w:val="(%1)"/>
      <w:lvlJc w:val="start"/>
      <w:pPr>
        <w:tabs>
          <w:tab w:val="num" w:pos="720"/>
        </w:tabs>
        <w:ind w:start="720" w:hanging="720"/>
      </w:pPr>
      <w:rPr/>
    </w:lvl>
  </w:abstractNum>
  <w:abstractNum w:abstractNumId="13">
    <w:lvl w:ilvl="0">
      <w:start w:val="1"/>
      <w:numFmt w:val="lowerRoman"/>
      <w:lvlText w:val="(%1)"/>
      <w:lvlJc w:val="start"/>
      <w:pPr>
        <w:tabs>
          <w:tab w:val="num" w:pos="720"/>
        </w:tabs>
        <w:ind w:start="720" w:hanging="720"/>
      </w:pPr>
      <w:rPr/>
    </w:lvl>
  </w:abstractNum>
  <w:abstractNum w:abstractNumId="14">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5z0">
    <w:name w:val="WW8Num5z0"/>
    <w:qFormat/>
    <w:rPr/>
  </w:style>
  <w:style w:type="character" w:styleId="WW8Num7z0">
    <w:name w:val="WW8Num7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FooterRightSideText">
    <w:name w:val="FooterRightSideText"/>
    <w:basedOn w:val="DefaultParagraphFont"/>
    <w:qFormat/>
    <w:rPr/>
  </w:style>
  <w:style w:type="character" w:styleId="iManageFooter">
    <w:name w:val="iManage Footer"/>
    <w:basedOn w:val="DefaultParagraphFont"/>
    <w:qFormat/>
    <w:rPr>
      <w:sz w:val="16"/>
      <w:lang w:val="en-CA" w:eastAsia="en-C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G-Bullet">
    <w:name w:val="CG-Bullet"/>
    <w:basedOn w:val="Normal"/>
    <w:qFormat/>
    <w:pPr>
      <w:numPr>
        <w:ilvl w:val="0"/>
        <w:numId w:val="4"/>
      </w:numPr>
    </w:pPr>
    <w:rPr>
      <w:sz w:val="24"/>
    </w:rPr>
  </w:style>
  <w:style w:type="paragraph" w:styleId="CG-DblInd05">
    <w:name w:val="CG-Dbl Ind 0.5"/>
    <w:basedOn w:val="Normal"/>
    <w:qFormat/>
    <w:pPr>
      <w:spacing w:before="0" w:after="240"/>
      <w:ind w:hanging="0" w:start="720" w:end="720"/>
    </w:pPr>
    <w:rPr>
      <w:sz w:val="24"/>
    </w:rPr>
  </w:style>
  <w:style w:type="paragraph" w:styleId="CG-DblInd1">
    <w:name w:val="CG-Dbl Ind 1"/>
    <w:basedOn w:val="Normal"/>
    <w:qFormat/>
    <w:pPr>
      <w:spacing w:before="0" w:after="240"/>
      <w:ind w:hanging="0" w:start="1440" w:end="1440"/>
    </w:pPr>
    <w:rPr>
      <w:sz w:val="24"/>
    </w:rPr>
  </w:style>
  <w:style w:type="paragraph" w:styleId="CG-DblSp05">
    <w:name w:val="CG-Dbl Sp 0.5"/>
    <w:basedOn w:val="Normal"/>
    <w:qFormat/>
    <w:pPr>
      <w:spacing w:lineRule="auto" w:line="480"/>
      <w:ind w:firstLine="720" w:start="0" w:end="0"/>
    </w:pPr>
    <w:rPr>
      <w:sz w:val="24"/>
    </w:rPr>
  </w:style>
  <w:style w:type="paragraph" w:styleId="CG-DblSp1">
    <w:name w:val="CG-Dbl Sp 1"/>
    <w:basedOn w:val="Normal"/>
    <w:qFormat/>
    <w:pPr>
      <w:spacing w:lineRule="auto" w:line="480"/>
      <w:ind w:firstLine="1440" w:start="0" w:end="0"/>
    </w:pPr>
    <w:rPr>
      <w:sz w:val="24"/>
    </w:rPr>
  </w:style>
  <w:style w:type="paragraph" w:styleId="CG-DblSp">
    <w:name w:val="CG-Dbl Sp"/>
    <w:basedOn w:val="Normal"/>
    <w:qFormat/>
    <w:pPr>
      <w:spacing w:lineRule="auto" w:line="480"/>
    </w:pPr>
    <w:rPr>
      <w:sz w:val="24"/>
    </w:rPr>
  </w:style>
  <w:style w:type="paragraph" w:styleId="CG-LeftInd05FL05">
    <w:name w:val="CG-Left Ind 0.5 FL 0.5"/>
    <w:basedOn w:val="Normal"/>
    <w:qFormat/>
    <w:pPr>
      <w:spacing w:before="0" w:after="240"/>
      <w:ind w:firstLine="720" w:start="720" w:end="0"/>
    </w:pPr>
    <w:rPr>
      <w:sz w:val="24"/>
    </w:rPr>
  </w:style>
  <w:style w:type="paragraph" w:styleId="CG-LeftInd05">
    <w:name w:val="CG-Left Ind 0.5"/>
    <w:basedOn w:val="Normal"/>
    <w:qFormat/>
    <w:pPr>
      <w:spacing w:before="0" w:after="240"/>
      <w:ind w:hanging="0" w:start="720" w:end="0"/>
    </w:pPr>
    <w:rPr>
      <w:sz w:val="24"/>
    </w:rPr>
  </w:style>
  <w:style w:type="paragraph" w:styleId="CG-LeftInd1">
    <w:name w:val="CG-Left Ind 1"/>
    <w:basedOn w:val="Normal"/>
    <w:qFormat/>
    <w:pPr>
      <w:spacing w:before="0" w:after="240"/>
      <w:ind w:hanging="0" w:start="1440" w:end="0"/>
    </w:pPr>
    <w:rPr>
      <w:sz w:val="24"/>
    </w:rPr>
  </w:style>
  <w:style w:type="paragraph" w:styleId="CG-NumberA">
    <w:name w:val="CG-Number A"/>
    <w:basedOn w:val="Normal"/>
    <w:qFormat/>
    <w:pPr>
      <w:numPr>
        <w:ilvl w:val="0"/>
        <w:numId w:val="5"/>
      </w:numPr>
      <w:spacing w:before="0" w:after="240"/>
    </w:pPr>
    <w:rPr>
      <w:sz w:val="24"/>
    </w:rPr>
  </w:style>
  <w:style w:type="paragraph" w:styleId="CG-NumberL">
    <w:name w:val="CG-Number L"/>
    <w:basedOn w:val="Normal"/>
    <w:qFormat/>
    <w:pPr>
      <w:numPr>
        <w:ilvl w:val="0"/>
        <w:numId w:val="3"/>
      </w:numPr>
      <w:ind w:hanging="720" w:start="1440" w:end="0"/>
    </w:pPr>
    <w:rPr>
      <w:sz w:val="24"/>
    </w:rPr>
  </w:style>
  <w:style w:type="paragraph" w:styleId="CG-Numberl1">
    <w:name w:val="CG-Number l1"/>
    <w:basedOn w:val="Normal"/>
    <w:qFormat/>
    <w:pPr>
      <w:numPr>
        <w:ilvl w:val="0"/>
        <w:numId w:val="9"/>
      </w:numPr>
      <w:ind w:hanging="720" w:start="1440" w:end="0"/>
    </w:pPr>
    <w:rPr>
      <w:sz w:val="24"/>
    </w:rPr>
  </w:style>
  <w:style w:type="paragraph" w:styleId="CG-NumberR">
    <w:name w:val="CG-Number R"/>
    <w:basedOn w:val="Normal"/>
    <w:qFormat/>
    <w:pPr>
      <w:numPr>
        <w:ilvl w:val="0"/>
        <w:numId w:val="10"/>
      </w:numPr>
      <w:ind w:hanging="0" w:start="1440" w:end="0"/>
    </w:pPr>
    <w:rPr>
      <w:sz w:val="24"/>
    </w:rPr>
  </w:style>
  <w:style w:type="paragraph" w:styleId="CG-Numberr1">
    <w:name w:val="CG-Number r1"/>
    <w:basedOn w:val="Normal"/>
    <w:qFormat/>
    <w:pPr>
      <w:numPr>
        <w:ilvl w:val="0"/>
        <w:numId w:val="7"/>
      </w:numPr>
      <w:tabs>
        <w:tab w:val="clear" w:pos="720"/>
      </w:tabs>
      <w:ind w:hanging="720" w:start="1440" w:end="0"/>
    </w:pPr>
    <w:rPr>
      <w:sz w:val="24"/>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z w:val="24"/>
    </w:rPr>
  </w:style>
  <w:style w:type="paragraph" w:styleId="CG-SigLtr">
    <w:name w:val="CG-Sig Ltr"/>
    <w:basedOn w:val="Normal"/>
    <w:qFormat/>
    <w:pPr>
      <w:keepNext w:val="true"/>
      <w:spacing w:before="0" w:after="720"/>
      <w:ind w:hanging="0" w:start="5040" w:end="0"/>
    </w:pPr>
    <w:rPr>
      <w:sz w:val="24"/>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z w:val="24"/>
    </w:rPr>
  </w:style>
  <w:style w:type="paragraph" w:styleId="CG-SingleSp05">
    <w:name w:val="CG-Single Sp 0.5"/>
    <w:basedOn w:val="Normal"/>
    <w:qFormat/>
    <w:pPr>
      <w:spacing w:before="0" w:after="240"/>
      <w:ind w:firstLine="720" w:start="0" w:end="0"/>
    </w:pPr>
    <w:rPr>
      <w:sz w:val="24"/>
    </w:rPr>
  </w:style>
  <w:style w:type="paragraph" w:styleId="CG-SingleSp1">
    <w:name w:val="CG-Single Sp 1"/>
    <w:basedOn w:val="Normal"/>
    <w:qFormat/>
    <w:pPr>
      <w:spacing w:before="0" w:after="240"/>
      <w:ind w:firstLine="1440" w:start="0" w:end="0"/>
    </w:pPr>
    <w:rPr>
      <w:sz w:val="24"/>
    </w:rPr>
  </w:style>
  <w:style w:type="paragraph" w:styleId="CG-SingleSp">
    <w:name w:val="CG-Single Sp"/>
    <w:basedOn w:val="Normal"/>
    <w:qFormat/>
    <w:pPr>
      <w:spacing w:before="0" w:after="240"/>
    </w:pPr>
    <w:rPr>
      <w:sz w:val="24"/>
    </w:rPr>
  </w:style>
  <w:style w:type="paragraph" w:styleId="CG-Title-Center-Bold">
    <w:name w:val="CG-Title-Center-Bold"/>
    <w:basedOn w:val="Normal"/>
    <w:next w:val="CG-SingleSp1"/>
    <w:qFormat/>
    <w:pPr>
      <w:keepNext w:val="true"/>
      <w:spacing w:before="0" w:after="240"/>
      <w:jc w:val="center"/>
    </w:pPr>
    <w:rPr>
      <w:b/>
      <w:sz w:val="24"/>
    </w:rPr>
  </w:style>
  <w:style w:type="paragraph" w:styleId="CG-Title-Center-Underscore">
    <w:name w:val="CG-Title-Center-Underscore"/>
    <w:basedOn w:val="Normal"/>
    <w:next w:val="CG-SingleSp1"/>
    <w:qFormat/>
    <w:pPr>
      <w:keepNext w:val="true"/>
      <w:spacing w:before="0" w:after="240"/>
      <w:jc w:val="center"/>
    </w:pPr>
    <w:rPr>
      <w:sz w:val="24"/>
      <w:u w:val="single"/>
    </w:rPr>
  </w:style>
  <w:style w:type="paragraph" w:styleId="CG-Title-Left-Bold">
    <w:name w:val="CG-Title-Left-Bold"/>
    <w:basedOn w:val="Normal"/>
    <w:next w:val="CG-SingleSp1"/>
    <w:qFormat/>
    <w:pPr>
      <w:keepNext w:val="true"/>
      <w:spacing w:before="0" w:after="240"/>
    </w:pPr>
    <w:rPr>
      <w:b/>
      <w:sz w:val="24"/>
    </w:rPr>
  </w:style>
  <w:style w:type="paragraph" w:styleId="CG-Title-Left-Underscore">
    <w:name w:val="CG-Title-Left-Underscore"/>
    <w:basedOn w:val="Normal"/>
    <w:next w:val="CG-SingleSp1"/>
    <w:qFormat/>
    <w:pPr>
      <w:keepNext w:val="true"/>
      <w:spacing w:before="0" w:after="240"/>
    </w:pPr>
    <w:rPr>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ListBullet">
    <w:name w:val="List Bullet"/>
    <w:basedOn w:val="Normal"/>
    <w:qFormat/>
    <w:pPr>
      <w:numPr>
        <w:ilvl w:val="0"/>
        <w:numId w:val="2"/>
      </w:numPr>
    </w:pPr>
    <w:rPr>
      <w:sz w:val="24"/>
    </w:rPr>
  </w:style>
  <w:style w:type="paragraph" w:styleId="CG-OneandOne-Half1">
    <w:name w:val="CG-One and One-Half 1"/>
    <w:basedOn w:val="Normal"/>
    <w:qFormat/>
    <w:pPr>
      <w:spacing w:lineRule="auto" w:line="360" w:before="0" w:after="120"/>
      <w:ind w:firstLine="1440" w:start="0" w:end="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CG-Title-Center">
    <w:name w:val="CG-Title-Center"/>
    <w:basedOn w:val="Normal"/>
    <w:next w:val="Normal"/>
    <w:qFormat/>
    <w:pPr>
      <w:keepNext w:val="true"/>
      <w:spacing w:before="0" w:after="240"/>
      <w:jc w:val="center"/>
    </w:pPr>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York</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2000-08-31T14:10:00Z</dcterms:created>
  <dc:creator>New York Office</dc:creator>
  <dc:description/>
  <dc:language>en-CA</dc:language>
  <cp:lastModifiedBy>Williams &amp; Jensen</cp:lastModifiedBy>
  <cp:lastPrinted>2000-08-31T12:01:00Z</cp:lastPrinted>
  <dcterms:modified xsi:type="dcterms:W3CDTF">2000-08-31T14:10:00Z</dcterms:modified>
  <cp:revision>2</cp:revision>
  <dc:subject/>
  <dc:title>Comparision of Legal Certainty Provisions of the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
  </property>
  <property fmtid="{D5CDD505-2E9C-101B-9397-08002B2CF9AE}" pid="3" name="DocName">
    <vt:lpwstr/>
  </property>
  <property fmtid="{D5CDD505-2E9C-101B-9397-08002B2CF9AE}" pid="4" name="DocNumber">
    <vt:lpwstr/>
  </property>
  <property fmtid="{D5CDD505-2E9C-101B-9397-08002B2CF9AE}" pid="5" name="DocVersion">
    <vt:lpwstr/>
  </property>
  <property fmtid="{D5CDD505-2E9C-101B-9397-08002B2CF9AE}" pid="6" name="FooterRightSideText">
    <vt:lpwstr> </vt:lpwstr>
  </property>
  <property fmtid="{D5CDD505-2E9C-101B-9397-08002B2CF9AE}" pid="7" name="SaveDocLibrary">
    <vt:lpwstr>[New York</vt:lpwstr>
  </property>
  <property fmtid="{D5CDD505-2E9C-101B-9397-08002B2CF9AE}" pid="8" name="SaveDocName">
    <vt:lpwstr/>
  </property>
  <property fmtid="{D5CDD505-2E9C-101B-9397-08002B2CF9AE}" pid="9" name="SaveDocNumber">
    <vt:lpwstr> #797090</vt:lpwstr>
  </property>
  <property fmtid="{D5CDD505-2E9C-101B-9397-08002B2CF9AE}" pid="10" name="SaveDocVersion">
    <vt:lpwstr> v1]</vt:lpwstr>
  </property>
  <property fmtid="{D5CDD505-2E9C-101B-9397-08002B2CF9AE}" pid="11" name="SaveFooterRightSideText">
    <vt:lpwstr> </vt:lpwstr>
  </property>
  <property fmtid="{D5CDD505-2E9C-101B-9397-08002B2CF9AE}" pid="12" name="iManageFooter">
    <vt:lpwstr>None</vt:lpwstr>
  </property>
</Properties>
</file>