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1008"/>
        <w:rPr>
          <w:rFonts w:ascii="BalloonDExtBol;Times New Roman" w:hAnsi="BalloonDExtBol;Times New Roman" w:cs="BalloonDExtBol;Times New Roman"/>
          <w:sz w:val="72"/>
        </w:rPr>
      </w:pPr>
      <w:r>
        <w:object w:dxaOrig="1854" w:dyaOrig="58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9.5pt;margin-top:7.9pt;width:92.7pt;height:29.45pt;mso-wrap-distance-left:9.05pt;mso-wrap-distance-right:9.05pt;mso-position-horizontal-relative:text;mso-position-vertical-relative:text" filled="f" o:ole="">
            <v:imagedata r:id="rId3" o:title=""/>
          </v:shape>
          <o:OLEObject Type="Embed" ProgID="" ShapeID="ole_rId2" DrawAspect="Content" ObjectID="_144847751" r:id="rId2"/>
        </w:object>
      </w:r>
      <w:r>
        <w:rPr>
          <w:rFonts w:cs="BalloonDExtBol;Times New Roman" w:ascii="BalloonDExtBol;Times New Roman" w:hAnsi="BalloonDExtBol;Times New Roman"/>
          <w:sz w:val="72"/>
        </w:rPr>
        <w:tab/>
        <w:tab/>
      </w:r>
      <w:r>
        <mc:AlternateContent>
          <mc:Choice Requires="wps">
            <w:drawing>
              <wp:anchor behindDoc="0" distT="0" distB="0" distL="114935" distR="114935" simplePos="0" locked="0" layoutInCell="1" allowOverlap="1" relativeHeight="3">
                <wp:simplePos x="0" y="0"/>
                <wp:positionH relativeFrom="column">
                  <wp:posOffset>1485900</wp:posOffset>
                </wp:positionH>
                <wp:positionV relativeFrom="paragraph">
                  <wp:posOffset>57150</wp:posOffset>
                </wp:positionV>
                <wp:extent cx="5233670" cy="274955"/>
                <wp:effectExtent l="0" t="0" r="0" b="0"/>
                <wp:wrapNone/>
                <wp:docPr id="1" name="Frame2"/>
                <a:graphic xmlns:a="http://schemas.openxmlformats.org/drawingml/2006/main">
                  <a:graphicData uri="http://schemas.microsoft.com/office/word/2010/wordprocessingShape">
                    <wps:wsp>
                      <wps:cNvSpPr txBox="1"/>
                      <wps:spPr>
                        <a:xfrm>
                          <a:off x="0" y="0"/>
                          <a:ext cx="5233670" cy="274955"/>
                        </a:xfrm>
                        <a:prstGeom prst="rect"/>
                        <a:solidFill>
                          <a:srgbClr val="FFFFFF"/>
                        </a:solidFill>
                      </wps:spPr>
                      <wps:txbx>
                        <w:txbxContent>
                          <w:p>
                            <w:pPr>
                              <w:pStyle w:val="Heading2"/>
                              <w:ind w:hanging="0" w:start="0"/>
                              <w:rPr/>
                            </w:pPr>
                            <w:r>
                              <w:rPr/>
                              <w:t>FUTURES INDUSTRY ASSOCIATION</w:t>
                            </w:r>
                          </w:p>
                          <w:p>
                            <w:pPr>
                              <w:pStyle w:val="Normal"/>
                              <w:rPr>
                                <w:b/>
                                <w:sz w:val="22"/>
                              </w:rPr>
                            </w:pPr>
                            <w:r>
                              <w:rPr>
                                <w:b/>
                                <w:sz w:val="22"/>
                              </w:rPr>
                              <w:tab/>
                              <w:tab/>
                              <w:tab/>
                              <w:tab/>
                              <w:tab/>
                              <w:tab/>
                              <w:tab/>
                              <w:tab/>
                              <w:tab/>
                            </w:r>
                          </w:p>
                          <w:p>
                            <w:pPr>
                              <w:pStyle w:val="Normal"/>
                              <w:rPr>
                                <w:b/>
                                <w:sz w:val="22"/>
                              </w:rPr>
                            </w:pPr>
                            <w:r>
                              <w:rPr>
                                <w:b/>
                                <w:sz w:val="22"/>
                              </w:rPr>
                            </w:r>
                          </w:p>
                        </w:txbxContent>
                      </wps:txbx>
                      <wps:bodyPr anchor="t" lIns="13335" tIns="13335" rIns="13335" bIns="13335">
                        <a:noAutofit/>
                      </wps:bodyPr>
                    </wps:wsp>
                  </a:graphicData>
                </a:graphic>
              </wp:anchor>
            </w:drawing>
          </mc:Choice>
          <mc:Fallback>
            <w:pict>
              <v:rect fillcolor="#FFFFFF" style="position:absolute;rotation:-0;width:412.1pt;height:21.65pt;mso-wrap-distance-left:9.05pt;mso-wrap-distance-right:9.05pt;mso-wrap-distance-top:0pt;mso-wrap-distance-bottom:0pt;margin-top:4.5pt;mso-position-vertical-relative:text;margin-left:117pt;mso-position-horizontal-relative:text">
                <v:textbox inset="0.0145833333333333in,0.0145833333333333in,0.0145833333333333in,0.0145833333333333in">
                  <w:txbxContent>
                    <w:p>
                      <w:pPr>
                        <w:pStyle w:val="Heading2"/>
                        <w:ind w:hanging="0" w:start="0"/>
                        <w:rPr/>
                      </w:pPr>
                      <w:r>
                        <w:rPr/>
                        <w:t>FUTURES INDUSTRY ASSOCIATION</w:t>
                      </w:r>
                    </w:p>
                    <w:p>
                      <w:pPr>
                        <w:pStyle w:val="Normal"/>
                        <w:rPr>
                          <w:b/>
                          <w:sz w:val="22"/>
                        </w:rPr>
                      </w:pPr>
                      <w:r>
                        <w:rPr>
                          <w:b/>
                          <w:sz w:val="22"/>
                        </w:rPr>
                        <w:tab/>
                        <w:tab/>
                        <w:tab/>
                        <w:tab/>
                        <w:tab/>
                        <w:tab/>
                        <w:tab/>
                        <w:tab/>
                        <w:tab/>
                      </w:r>
                    </w:p>
                    <w:p>
                      <w:pPr>
                        <w:pStyle w:val="Normal"/>
                        <w:rPr>
                          <w:b/>
                          <w:sz w:val="22"/>
                        </w:rPr>
                      </w:pPr>
                      <w:r>
                        <w:rPr>
                          <w:b/>
                          <w:sz w:val="22"/>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6069330</wp:posOffset>
                </wp:positionH>
                <wp:positionV relativeFrom="paragraph">
                  <wp:posOffset>335280</wp:posOffset>
                </wp:positionV>
                <wp:extent cx="581025" cy="276225"/>
                <wp:effectExtent l="0" t="0" r="0" b="0"/>
                <wp:wrapNone/>
                <wp:docPr id="2" name="Frame1"/>
                <a:graphic xmlns:a="http://schemas.openxmlformats.org/drawingml/2006/main">
                  <a:graphicData uri="http://schemas.microsoft.com/office/word/2010/wordprocessingShape">
                    <wps:wsp>
                      <wps:cNvSpPr txBox="1"/>
                      <wps:spPr>
                        <a:xfrm>
                          <a:off x="0" y="0"/>
                          <a:ext cx="581025" cy="276225"/>
                        </a:xfrm>
                        <a:prstGeom prst="rect"/>
                        <a:solidFill>
                          <a:srgbClr val="FFFFFF"/>
                        </a:solidFill>
                      </wps:spPr>
                      <wps:txbx>
                        <w:txbxContent>
                          <w:p>
                            <w:pPr>
                              <w:pStyle w:val="Normal"/>
                              <w:rPr>
                                <w:rFonts w:ascii="Helvetica" w:hAnsi="Helvetica" w:cs="Helvetica"/>
                                <w:b/>
                              </w:rPr>
                            </w:pPr>
                            <w:r>
                              <w:rPr>
                                <w:rFonts w:cs="Helvetica" w:ascii="Helvetica" w:hAnsi="Helvetica"/>
                                <w:b/>
                              </w:rPr>
                              <w:t>INC.</w:t>
                            </w:r>
                          </w:p>
                        </w:txbxContent>
                      </wps:txbx>
                      <wps:bodyPr anchor="t" lIns="92075" tIns="46355" rIns="92075" bIns="46355">
                        <a:noAutofit/>
                      </wps:bodyPr>
                    </wps:wsp>
                  </a:graphicData>
                </a:graphic>
              </wp:anchor>
            </w:drawing>
          </mc:Choice>
          <mc:Fallback>
            <w:pict>
              <v:rect fillcolor="#FFFFFF" style="position:absolute;rotation:-0;width:45.75pt;height:21.75pt;mso-wrap-distance-left:9.05pt;mso-wrap-distance-right:9.05pt;mso-wrap-distance-top:0pt;mso-wrap-distance-bottom:0pt;margin-top:26.4pt;mso-position-vertical-relative:text;margin-left:477.9pt;mso-position-horizontal-relative:text">
                <v:textbox inset="0.100694444444444in,0.0506944444444444in,0.100694444444444in,0.0506944444444444in">
                  <w:txbxContent>
                    <w:p>
                      <w:pPr>
                        <w:pStyle w:val="Normal"/>
                        <w:rPr>
                          <w:rFonts w:ascii="Helvetica" w:hAnsi="Helvetica" w:cs="Helvetica"/>
                          <w:b/>
                        </w:rPr>
                      </w:pPr>
                      <w:r>
                        <w:rPr>
                          <w:rFonts w:cs="Helvetica" w:ascii="Helvetica" w:hAnsi="Helvetica"/>
                          <w:b/>
                        </w:rPr>
                        <w:t>INC.</w:t>
                      </w:r>
                    </w:p>
                  </w:txbxContent>
                </v:textbox>
                <w10:wrap type="none"/>
              </v:rect>
            </w:pict>
          </mc:Fallback>
        </mc:AlternateContent>
      </w:r>
    </w:p>
    <w:p>
      <w:pPr>
        <w:pStyle w:val="Normal"/>
        <w:ind w:start="720" w:end="1008"/>
        <w:rPr/>
      </w:pPr>
      <w:r>
        <w:rPr/>
      </w:r>
    </w:p>
    <w:p>
      <w:pPr>
        <w:pStyle w:val="Normal"/>
        <w:ind w:start="720" w:end="1008"/>
        <w:rPr>
          <w:b/>
          <w:sz w:val="28"/>
        </w:rPr>
      </w:pPr>
      <w:r>
        <w:rPr>
          <w:b/>
          <w:sz w:val="28"/>
        </w:rPr>
      </w:r>
    </w:p>
    <w:p>
      <w:pPr>
        <w:pStyle w:val="Normal"/>
        <w:ind w:start="720" w:end="1008"/>
        <w:rPr>
          <w:rFonts w:ascii="Times New Roman" w:hAnsi="Times New Roman" w:cs="Times New Roman"/>
          <w:b/>
          <w:sz w:val="28"/>
          <w:lang w:val="en-CA"/>
        </w:rPr>
      </w:pPr>
      <w:r>
        <w:rPr>
          <w:rFonts w:cs="Times New Roman" w:ascii="Times New Roman" w:hAnsi="Times New Roman"/>
          <w:b/>
          <w:sz w:val="28"/>
          <w:lang w:val="en-CA"/>
        </w:rPr>
      </w:r>
      <w:r>
        <mc:AlternateContent>
          <mc:Choice Requires="wps">
            <w:drawing>
              <wp:anchor behindDoc="0" distT="0" distB="0" distL="114935" distR="114935" simplePos="0" locked="0" layoutInCell="1" allowOverlap="1" relativeHeight="2">
                <wp:simplePos x="0" y="0"/>
                <wp:positionH relativeFrom="column">
                  <wp:posOffset>1553210</wp:posOffset>
                </wp:positionH>
                <wp:positionV relativeFrom="paragraph">
                  <wp:posOffset>31115</wp:posOffset>
                </wp:positionV>
                <wp:extent cx="5059045" cy="447675"/>
                <wp:effectExtent l="0" t="0" r="0" b="0"/>
                <wp:wrapNone/>
                <wp:docPr id="3" name="Frame3"/>
                <a:graphic xmlns:a="http://schemas.openxmlformats.org/drawingml/2006/main">
                  <a:graphicData uri="http://schemas.microsoft.com/office/word/2010/wordprocessingShape">
                    <wps:wsp>
                      <wps:cNvSpPr txBox="1"/>
                      <wps:spPr>
                        <a:xfrm>
                          <a:off x="0" y="0"/>
                          <a:ext cx="5059045" cy="447675"/>
                        </a:xfrm>
                        <a:prstGeom prst="rect"/>
                        <a:solidFill>
                          <a:srgbClr val="FFFFFF"/>
                        </a:solidFill>
                      </wps:spPr>
                      <wps:txbx>
                        <w:txbxContent>
                          <w:p>
                            <w:pPr>
                              <w:pStyle w:val="Normal"/>
                              <w:jc w:val="both"/>
                              <w:rPr>
                                <w:spacing w:val="2"/>
                                <w:sz w:val="18"/>
                              </w:rPr>
                            </w:pPr>
                            <w:r>
                              <w:rPr>
                                <w:rFonts w:eastAsia="Arial"/>
                                <w:spacing w:val="2"/>
                                <w:sz w:val="18"/>
                              </w:rPr>
                              <w:t xml:space="preserve"> </w:t>
                            </w:r>
                            <w:r>
                              <w:rPr>
                                <w:spacing w:val="2"/>
                                <w:sz w:val="18"/>
                              </w:rPr>
                              <w:t>2001 Pennsylvania Avenue N.W. • Suite 600 • Washington, DC 20006-1807 • (202) 466-5460</w:t>
                            </w:r>
                          </w:p>
                          <w:p>
                            <w:pPr>
                              <w:pStyle w:val="Normal"/>
                              <w:tabs>
                                <w:tab w:val="clear" w:pos="720"/>
                                <w:tab w:val="right" w:pos="7740" w:leader="none"/>
                              </w:tabs>
                              <w:jc w:val="both"/>
                              <w:rPr>
                                <w:spacing w:val="2"/>
                                <w:sz w:val="18"/>
                              </w:rPr>
                            </w:pPr>
                            <w:r>
                              <w:rPr>
                                <w:spacing w:val="2"/>
                                <w:sz w:val="18"/>
                              </w:rPr>
                              <w:tab/>
                              <w:t>Fax: (202) 296-3184</w:t>
                            </w:r>
                          </w:p>
                        </w:txbxContent>
                      </wps:txbx>
                      <wps:bodyPr anchor="t" lIns="13335" tIns="13335" rIns="13335" bIns="13335">
                        <a:noAutofit/>
                      </wps:bodyPr>
                    </wps:wsp>
                  </a:graphicData>
                </a:graphic>
              </wp:anchor>
            </w:drawing>
          </mc:Choice>
          <mc:Fallback>
            <w:pict>
              <v:rect fillcolor="#FFFFFF" style="position:absolute;rotation:-0;width:398.35pt;height:35.25pt;mso-wrap-distance-left:9.05pt;mso-wrap-distance-right:9.05pt;mso-wrap-distance-top:0pt;mso-wrap-distance-bottom:0pt;margin-top:2.45pt;mso-position-vertical-relative:text;margin-left:122.3pt;mso-position-horizontal-relative:text">
                <v:textbox inset="0.0145833333333333in,0.0145833333333333in,0.0145833333333333in,0.0145833333333333in">
                  <w:txbxContent>
                    <w:p>
                      <w:pPr>
                        <w:pStyle w:val="Normal"/>
                        <w:jc w:val="both"/>
                        <w:rPr>
                          <w:spacing w:val="2"/>
                          <w:sz w:val="18"/>
                        </w:rPr>
                      </w:pPr>
                      <w:r>
                        <w:rPr>
                          <w:rFonts w:eastAsia="Arial"/>
                          <w:spacing w:val="2"/>
                          <w:sz w:val="18"/>
                        </w:rPr>
                        <w:t xml:space="preserve"> </w:t>
                      </w:r>
                      <w:r>
                        <w:rPr>
                          <w:spacing w:val="2"/>
                          <w:sz w:val="18"/>
                        </w:rPr>
                        <w:t>2001 Pennsylvania Avenue N.W. • Suite 600 • Washington, DC 20006-1807 • (202) 466-5460</w:t>
                      </w:r>
                    </w:p>
                    <w:p>
                      <w:pPr>
                        <w:pStyle w:val="Normal"/>
                        <w:tabs>
                          <w:tab w:val="clear" w:pos="720"/>
                          <w:tab w:val="right" w:pos="7740" w:leader="none"/>
                        </w:tabs>
                        <w:jc w:val="both"/>
                        <w:rPr>
                          <w:spacing w:val="2"/>
                          <w:sz w:val="18"/>
                        </w:rPr>
                      </w:pPr>
                      <w:r>
                        <w:rPr>
                          <w:spacing w:val="2"/>
                          <w:sz w:val="18"/>
                        </w:rPr>
                        <w:tab/>
                        <w:t>Fax: (202) 296-3184</w:t>
                      </w:r>
                    </w:p>
                  </w:txbxContent>
                </v:textbox>
                <w10:wrap type="none"/>
              </v:rect>
            </w:pict>
          </mc:Fallback>
        </mc:AlternateContent>
      </w:r>
    </w:p>
    <w:p>
      <w:pPr>
        <w:pStyle w:val="Normal"/>
        <w:ind w:start="720" w:end="1008"/>
        <w:jc w:val="center"/>
        <w:rPr>
          <w:b/>
          <w:sz w:val="28"/>
        </w:rPr>
      </w:pPr>
      <w:r>
        <w:rPr>
          <w:b/>
          <w:sz w:val="28"/>
        </w:rPr>
      </w:r>
    </w:p>
    <w:p>
      <w:pPr>
        <w:pStyle w:val="Normal"/>
        <w:ind w:start="720" w:end="1008"/>
        <w:jc w:val="center"/>
        <w:rPr>
          <w:rFonts w:ascii="Times New Roman" w:hAnsi="Times New Roman" w:cs="Times New Roman"/>
          <w:sz w:val="23"/>
        </w:rPr>
      </w:pPr>
      <w:r>
        <w:rPr>
          <w:rFonts w:cs="Times New Roman" w:ascii="Times New Roman" w:hAnsi="Times New Roman"/>
          <w:sz w:val="23"/>
        </w:rPr>
      </w:r>
    </w:p>
    <w:p>
      <w:pPr>
        <w:pStyle w:val="Normal"/>
        <w:ind w:start="720" w:end="720"/>
        <w:jc w:val="both"/>
        <w:rPr>
          <w:rFonts w:ascii="Times New Roman" w:hAnsi="Times New Roman" w:cs="Times New Roman"/>
          <w:sz w:val="23"/>
        </w:rPr>
      </w:pPr>
      <w:r>
        <w:rPr>
          <w:rFonts w:cs="Times New Roman" w:ascii="Times New Roman" w:hAnsi="Times New Roman"/>
          <w:sz w:val="23"/>
        </w:rPr>
      </w:r>
    </w:p>
    <w:p>
      <w:pPr>
        <w:pStyle w:val="Heading"/>
        <w:rPr/>
      </w:pPr>
      <w:r>
        <w:rPr/>
        <w:t>Commodity Futures Modernization Act of 2000</w:t>
      </w:r>
    </w:p>
    <w:p>
      <w:pPr>
        <w:pStyle w:val="Heading"/>
        <w:rPr/>
      </w:pPr>
      <w:r>
        <w:rPr/>
      </w:r>
    </w:p>
    <w:p>
      <w:pPr>
        <w:pStyle w:val="Heading"/>
        <w:rPr/>
      </w:pPr>
      <w:r>
        <w:rPr/>
        <w:t>An Initial Overview</w:t>
      </w:r>
    </w:p>
    <w:p>
      <w:pPr>
        <w:pStyle w:val="Normal"/>
        <w:ind w:start="720" w:end="720"/>
        <w:jc w:val="both"/>
        <w:rPr>
          <w:sz w:val="23"/>
        </w:rPr>
      </w:pPr>
      <w:r>
        <w:rPr>
          <w:sz w:val="23"/>
        </w:rPr>
      </w:r>
    </w:p>
    <w:p>
      <w:pPr>
        <w:pStyle w:val="Normal"/>
        <w:ind w:start="720" w:end="720"/>
        <w:jc w:val="both"/>
        <w:rPr>
          <w:sz w:val="23"/>
        </w:rPr>
      </w:pPr>
      <w:r>
        <w:rPr>
          <w:sz w:val="23"/>
        </w:rPr>
      </w:r>
    </w:p>
    <w:p>
      <w:pPr>
        <w:pStyle w:val="BodyText"/>
        <w:ind w:firstLine="720" w:start="720" w:end="720"/>
        <w:rPr/>
      </w:pPr>
      <w:r>
        <w:rPr/>
        <w:t>On Friday, December 15, Congress passed the Commodity Futures Modernization Act of 2000, HR 5660.  The legislation, which had appeared to be dead for the congressional session, was attached to the bill making final appropriations for the current fiscal year.  The bill will become effective on the date President Clinton signs it.  The bill is as complex as the products and markets its provisions address.  Reflecting the increasing integration of the US financial markets, the bill amends not only the Commodity Exchange Act, but the various federal securities laws, the Gramm-Leach-Bliley Act, the Federal Deposit Insurance Corporation Act and the Bankruptcy Code.  Amendments to the Internal Revenue Code, which had been incorporated in earlier versions of the bill, were included in separate legislation, HR 5662, that also includes a number of unrelated tax changes.</w:t>
      </w:r>
    </w:p>
    <w:p>
      <w:pPr>
        <w:pStyle w:val="BodyText"/>
        <w:ind w:start="720" w:end="720"/>
        <w:rPr/>
      </w:pPr>
      <w:r>
        <w:rPr/>
      </w:r>
    </w:p>
    <w:p>
      <w:pPr>
        <w:pStyle w:val="BodyText"/>
        <w:ind w:firstLine="720" w:start="720" w:end="720"/>
        <w:rPr/>
      </w:pPr>
      <w:r>
        <w:rPr/>
        <w:t>The purpose of HR 5660 is to reform the regulation of derivatives products and markets in the US in order to assure that the US is able to remain competitive in the international financial marketplace.  Perhaps most significant, the legislation removes the current prohibition on futures and options on futures contracts that has been in place since 1982.  The bill also provides US futures exchanges and other trading facilities considerable flexibility in the manner in which products are traded, including granting certain exclusions and exemptions from the Commodity Exchange Act (CEA) for transactions effected by or on behalf of a defined class of institutional participants, establishes a regulatory structure for derivatives clearing organizations, and assures legal certainty for over the counter derivatives products.</w:t>
      </w:r>
    </w:p>
    <w:p>
      <w:pPr>
        <w:pStyle w:val="BodyText"/>
        <w:ind w:start="720" w:end="720"/>
        <w:rPr/>
      </w:pPr>
      <w:r>
        <w:rPr/>
      </w:r>
    </w:p>
    <w:p>
      <w:pPr>
        <w:pStyle w:val="BodyText"/>
        <w:ind w:firstLine="720" w:start="720" w:end="720"/>
        <w:rPr/>
      </w:pPr>
      <w:r>
        <w:rPr/>
        <w:t>The summary of the principal provisions of HR 5660 that follows is necessarily general.  However, the bill is anything but simple.  Its provisions require careful analysis.</w:t>
      </w:r>
    </w:p>
    <w:p>
      <w:pPr>
        <w:pStyle w:val="BodyText"/>
        <w:ind w:start="720" w:end="720"/>
        <w:rPr/>
      </w:pPr>
      <w:r>
        <w:rPr/>
      </w:r>
    </w:p>
    <w:p>
      <w:pPr>
        <w:pStyle w:val="BodyText"/>
        <w:ind w:start="720" w:end="720"/>
        <w:rPr>
          <w:b/>
        </w:rPr>
      </w:pPr>
      <w:r>
        <w:rPr>
          <w:b/>
        </w:rPr>
        <w:t>Security Futures</w:t>
      </w:r>
    </w:p>
    <w:p>
      <w:pPr>
        <w:pStyle w:val="BodyText"/>
        <w:ind w:start="720" w:end="720"/>
        <w:rPr/>
      </w:pPr>
      <w:r>
        <w:rPr/>
      </w:r>
    </w:p>
    <w:p>
      <w:pPr>
        <w:sectPr>
          <w:footerReference w:type="default" r:id="rId4"/>
          <w:footerReference w:type="first" r:id="rId5"/>
          <w:type w:val="nextPage"/>
          <w:pgSz w:w="12240" w:h="15840"/>
          <w:pgMar w:left="1152" w:right="1152" w:gutter="0" w:header="0" w:top="1008" w:footer="720" w:bottom="1440"/>
          <w:pgNumType w:fmt="decimal"/>
          <w:formProt w:val="false"/>
          <w:titlePg/>
          <w:textDirection w:val="lrTb"/>
          <w:docGrid w:type="default" w:linePitch="360" w:charSpace="0"/>
        </w:sectPr>
        <w:pStyle w:val="BodyText"/>
        <w:ind w:firstLine="720" w:start="720" w:end="720"/>
        <w:rPr/>
      </w:pPr>
      <w:r>
        <w:rPr/>
        <w:t>Recognizing that they have essential elements of both securities under the federal securities laws and futures contracts under the CEA, “security futures” will be subject to the joint regulation of the Commodity Futures Trading Commission (CFTC) and the Securities and Exchange Commission (SEC).  Security futures are defined as futures or options on futures on a single security (other than an exempt security) or a narrow-based index of securities.  To be offered in the US, the underlying security of a single security futures product must be registered with the SEC.</w:t>
      </w:r>
    </w:p>
    <w:p>
      <w:pPr>
        <w:pStyle w:val="BodyText"/>
        <w:ind w:firstLine="720" w:start="720" w:end="720"/>
        <w:rPr/>
      </w:pPr>
      <w:r>
        <w:rPr/>
        <w:t>A narrow-based index is an index that: (a) is comprised of nine or fewer securities; (b) in which a component security compromises more than 30 percent of its weighting; (c) in which the five highest weighted component securities in the aggregate comprise more than 60 percent of the index’s weighting; or (d) in which the lowest weighted component securities comprising, in the aggregate, 25 percent of the index’s weighting have an aggregate dollar value of average daily trading volume of less than $50 million (or in the case of an index with 15 or more component securities, $30 million).  The purpose of this definition is to assure SEC jurisdiction over those index contracts that could serve as a surrogate for trading one or more the individual securities that comprise the index.</w:t>
      </w:r>
    </w:p>
    <w:p>
      <w:pPr>
        <w:pStyle w:val="BodyText"/>
        <w:ind w:start="720" w:end="720"/>
        <w:rPr/>
      </w:pPr>
      <w:r>
        <w:rPr/>
      </w:r>
    </w:p>
    <w:p>
      <w:pPr>
        <w:pStyle w:val="BodyText"/>
        <w:ind w:firstLine="720" w:start="720" w:end="720"/>
        <w:rPr/>
      </w:pPr>
      <w:r>
        <w:rPr/>
        <w:t>In contrast to current law, the SEC will no longer have any regulatory interest in broad-based index contracts.  These contracts will now be subject to the exclusive jurisdiction of the CFTC.  A US contract market or derivatives transaction execution facility will be able to list broad-based stock index contracts for trading upon filing a written notice with the CFTC certifying that the contract is cash-settled, is not readily susceptible to manipulation and is a broad-based index.  A broad-based index is generally defined as an index: (a) comprised of more than nine securities; (b) no component security comprises more than 30 percent of the index’s weighting; and (c) each component security is (i) registered pursuant to section 12 of the Securities Exchange Act of 1934, (ii) one of 750 securities with the largest market capitalization, and (iii) one of 675 securities with the largest dollar value of average daily trading volume.  All stock index contracts traded on US futures exchanges on the effective date of the Act are grandfathered.  Foreign stock index contracts authorized to be offered in the US on that date are grandfathered for a period of 18 months, pending adoption of rules to be jointly established by the SEC and CFTC.</w:t>
      </w:r>
    </w:p>
    <w:p>
      <w:pPr>
        <w:pStyle w:val="BodyText"/>
        <w:ind w:start="720" w:end="720"/>
        <w:rPr/>
      </w:pPr>
      <w:r>
        <w:rPr/>
      </w:r>
    </w:p>
    <w:p>
      <w:pPr>
        <w:pStyle w:val="Normal"/>
        <w:ind w:firstLine="720" w:start="720" w:end="720"/>
        <w:jc w:val="both"/>
        <w:rPr>
          <w:rFonts w:ascii="Times New Roman" w:hAnsi="Times New Roman" w:cs="Times New Roman"/>
          <w:sz w:val="23"/>
        </w:rPr>
      </w:pPr>
      <w:r>
        <w:rPr>
          <w:rFonts w:cs="Times New Roman" w:ascii="Times New Roman" w:hAnsi="Times New Roman"/>
          <w:sz w:val="23"/>
        </w:rPr>
        <w:t>Any facility on which security futures are listed for trading must be registered with the SEC as a national securities exchange or a national securities association and with the CFTC as either a contract market or a derivatives transaction execution facility, discussed below.  The bill establishes a notice registration procedure pursuant to which a national securities exchange will be registered with the CFTC upon filing a written notice with the CFTC and a contract market or derivatives transaction facility will be registered with the SEC upon filing a written notice with the SEC.</w:t>
      </w:r>
    </w:p>
    <w:p>
      <w:pPr>
        <w:pStyle w:val="Normal"/>
        <w:ind w:start="720" w:end="720"/>
        <w:jc w:val="both"/>
        <w:rPr>
          <w:rFonts w:ascii="Times New Roman" w:hAnsi="Times New Roman" w:cs="Times New Roman"/>
          <w:sz w:val="23"/>
        </w:rPr>
      </w:pPr>
      <w:r>
        <w:rPr>
          <w:rFonts w:cs="Times New Roman" w:ascii="Times New Roman" w:hAnsi="Times New Roman"/>
          <w:sz w:val="23"/>
        </w:rPr>
      </w:r>
    </w:p>
    <w:p>
      <w:pPr>
        <w:pStyle w:val="Normal"/>
        <w:ind w:firstLine="720" w:start="720" w:end="720"/>
        <w:jc w:val="both"/>
        <w:rPr>
          <w:rFonts w:ascii="Times New Roman" w:hAnsi="Times New Roman" w:cs="Times New Roman"/>
          <w:sz w:val="23"/>
        </w:rPr>
      </w:pPr>
      <w:r>
        <w:rPr>
          <w:rFonts w:cs="Times New Roman" w:ascii="Times New Roman" w:hAnsi="Times New Roman"/>
          <w:sz w:val="23"/>
        </w:rPr>
        <w:t xml:space="preserve">Clearing organizations that clear security futures products must establish procedures for linked and coordinated clearing of these products.  However, this requirement is deferred until the later of (a) </w:t>
      </w:r>
      <w:r>
        <w:rPr>
          <w:rFonts w:cs="Times New Roman" w:ascii="Times New Roman" w:hAnsi="Times New Roman"/>
          <w:sz w:val="23"/>
          <w:lang w:eastAsia="en-US"/>
        </w:rPr>
        <w:t>180 days after the end of the first full calendar month period in which the average aggregate comparable share volume for all security futures products based on single equity securities traded on all national securities exchanges, any national securities association, and all other persons equals or exceeds 10 percent of the average aggregate comparable share volume of options on single equity securities traded on all national securities exchanges and any national securities association, or (b) 2 years after the date on which trading in any security futures product commences under this title.</w:t>
      </w:r>
    </w:p>
    <w:p>
      <w:pPr>
        <w:pStyle w:val="BodyText"/>
        <w:ind w:start="720" w:end="720"/>
        <w:rPr>
          <w:rFonts w:ascii="Times New Roman" w:hAnsi="Times New Roman" w:cs="Times New Roman"/>
          <w:sz w:val="23"/>
        </w:rPr>
      </w:pPr>
      <w:r>
        <w:rPr>
          <w:rFonts w:cs="Times New Roman"/>
          <w:sz w:val="23"/>
        </w:rPr>
      </w:r>
    </w:p>
    <w:p>
      <w:pPr>
        <w:pStyle w:val="BodyText"/>
        <w:ind w:firstLine="720" w:start="720" w:end="720"/>
        <w:rPr/>
      </w:pPr>
      <w:r>
        <w:rPr/>
        <w:t>HR 5660 further provides that transactions in security futures must be effected through persons that are registered both with the SEC as broker-dealers and with the CFTC as futures commission merchants (FCMs).  As with trading facilities, the bill provides for registration of FCMs as broker-dealers upon written notice to the SEC and registration of broker-dealers as FCMs upon written notice to the CFTC.  To assure appropriate regulatory oversight of FCMs that are “notice registrants” with the SEC, the National Futures Association (NFA) will become a limited-purpose national securities association.  The legislation contemplates that FCMs and their associated persons that otherwise are not required to be registered with the SEC will not be subject to significant additional requirements.  For example, associated persons will not be required to take the Series 7 examination for general securities representatives.  (Similarly, registered representatives will not be required to take the Series 3 examination.)  Nonetheless, NFA will be required to adopt and enforce “suitability rules comparable to those of a national securities association.”</w:t>
      </w:r>
    </w:p>
    <w:p>
      <w:pPr>
        <w:pStyle w:val="BodyText"/>
        <w:ind w:start="720" w:end="720"/>
        <w:rPr/>
      </w:pPr>
      <w:r>
        <w:rPr/>
      </w:r>
    </w:p>
    <w:p>
      <w:pPr>
        <w:pStyle w:val="BodyText"/>
        <w:ind w:firstLine="720" w:start="720" w:end="720"/>
        <w:rPr/>
      </w:pPr>
      <w:r>
        <w:rPr/>
        <w:t>Security futures products are “securities” under the Securities Investor Protection Act.  Therefore, customer funds held for the purpose of trading in security futures products generally will receive the protection of SIPC insurance.  However, if the FCM/broker-dealer carrying the customer account otherwise is not required to be registered with the SEC, the funds held by that FCM will be subject only to the segregation requirements of the CEA and will not receive SIPC insurance.</w:t>
      </w:r>
    </w:p>
    <w:p>
      <w:pPr>
        <w:pStyle w:val="BodyText"/>
        <w:ind w:start="720" w:end="720"/>
        <w:rPr/>
      </w:pPr>
      <w:r>
        <w:rPr/>
      </w:r>
    </w:p>
    <w:p>
      <w:pPr>
        <w:pStyle w:val="BodyText"/>
        <w:ind w:firstLine="720" w:start="720" w:end="720"/>
        <w:rPr/>
      </w:pPr>
      <w:r>
        <w:rPr/>
        <w:t>The bill contains a number of provisions designed to assure that security futures products do not have a competitive advantage over security options.  As such, security futures products will be treated differently from all other futures contracts.  For example, margin requirements for securities futures must be consistent with the margin requirements for comparable options contracts traded on any national securities exchange.  Specifically, initial and maintenance margin levels for a security futures product may not be “lower than the lowest level of margin, exclusive of premium, required for any comparable option contract traded on any exchange.”  Moreover, security futures products will be subject to a federal assessment fee, initially set at $.02 per round turn.  Beginning on October 1, 2006, the assessment fee will be reduced to $.0075 per round turn.</w:t>
      </w:r>
    </w:p>
    <w:p>
      <w:pPr>
        <w:pStyle w:val="BodyText"/>
        <w:ind w:start="720" w:end="720"/>
        <w:rPr/>
      </w:pPr>
      <w:r>
        <w:rPr/>
      </w:r>
    </w:p>
    <w:p>
      <w:pPr>
        <w:pStyle w:val="BodyText"/>
        <w:ind w:firstLine="720" w:start="720" w:end="720"/>
        <w:rPr/>
      </w:pPr>
      <w:r>
        <w:rPr/>
        <w:t>Perhaps most important, the tax treatment of profits and losses on security futures products will be different for customers.  Consistent with the tax treatment for security options, the 60-40 capital gains treatment will be available only to dealers and market makers.  For all other market participants, profits and losses on security futures products will have the same character as the underlying security would have in the hands of the taxpayer.</w:t>
      </w:r>
    </w:p>
    <w:p>
      <w:pPr>
        <w:pStyle w:val="BodyText"/>
        <w:ind w:start="720" w:end="720"/>
        <w:rPr/>
      </w:pPr>
      <w:r>
        <w:rPr/>
      </w:r>
    </w:p>
    <w:p>
      <w:pPr>
        <w:pStyle w:val="BodyText"/>
        <w:ind w:firstLine="720" w:start="720" w:end="720"/>
        <w:rPr/>
      </w:pPr>
      <w:r>
        <w:rPr/>
        <w:t>It should be noted that state securities laws are preempted with respect to security futures products.  Therefore, FCMs that otherwise are not required to be registered as broker-dealers and their associated persons will not be required to be registered as broker-dealers and registered representatives in the states in which they are conducting business.</w:t>
      </w:r>
    </w:p>
    <w:p>
      <w:pPr>
        <w:pStyle w:val="BodyText"/>
        <w:ind w:start="720" w:end="720"/>
        <w:rPr/>
      </w:pPr>
      <w:r>
        <w:rPr/>
      </w:r>
    </w:p>
    <w:p>
      <w:pPr>
        <w:pStyle w:val="BodyText"/>
        <w:ind w:firstLine="720" w:start="720" w:end="720"/>
        <w:rPr/>
      </w:pPr>
      <w:r>
        <w:rPr/>
        <w:t>In order to afford the SEC and CFTC, as well as the securities and futures industries, sufficient time to adopt rules and make other changes necessary to implement this regulatory regime, HR 5660 provides that security futures products cannot be offered on US trading facilities until the later of one year from the effective date of the legislation or the date on which NFA is registered as a limited purpose national securities association.  Principal-to principal transactions effected between eligible contract participants, discussed below, may not be effected until the later of eight months from the effective date of the legislation or the date on which NFA is registered as a limited purpose national securities association.  Options on security futures products cannot be offered for a period of three years from the effective date of the legislation.  In contrast to these timetables, however, eligible contract participants may continue to enter into equity swap transactions without interruption.</w:t>
      </w:r>
    </w:p>
    <w:p>
      <w:pPr>
        <w:pStyle w:val="BodyText"/>
        <w:ind w:start="720" w:end="720"/>
        <w:rPr/>
      </w:pPr>
      <w:r>
        <w:rPr/>
      </w:r>
    </w:p>
    <w:p>
      <w:pPr>
        <w:pStyle w:val="BodyText"/>
        <w:keepNext w:val="true"/>
        <w:ind w:start="720" w:end="720"/>
        <w:rPr>
          <w:b/>
        </w:rPr>
      </w:pPr>
      <w:r>
        <w:rPr>
          <w:b/>
        </w:rPr>
        <w:t>Foreign Security Futures</w:t>
      </w:r>
    </w:p>
    <w:p>
      <w:pPr>
        <w:pStyle w:val="BodyText"/>
        <w:keepNext w:val="true"/>
        <w:ind w:start="720" w:end="720"/>
        <w:rPr/>
      </w:pPr>
      <w:r>
        <w:rPr/>
      </w:r>
    </w:p>
    <w:p>
      <w:pPr>
        <w:pStyle w:val="Normal"/>
        <w:keepNext w:val="true"/>
        <w:ind w:firstLine="720" w:start="720" w:end="720"/>
        <w:jc w:val="both"/>
        <w:rPr/>
      </w:pPr>
      <w:r>
        <w:rPr>
          <w:rFonts w:cs="Times New Roman" w:ascii="Times New Roman" w:hAnsi="Times New Roman"/>
          <w:sz w:val="23"/>
        </w:rPr>
        <w:t>As originally proposed by the SEC and the CFTC, the provisions establishing a regulatory scheme for security futures products related solely to security futures based on US-registered securities and traded only on US facilities.  Through FIA’s efforts, a number of provisions were added to HR 5660 for the purpose of assuring that US customers would have access to foreign security futures products and broad-based index contracts through US FCMs.  In this regard, the CFTC and the SEC are required to adopt regulations defining a broad-based security index for foreign markets within one year from the effective date of the legislation.  In addition, the agencies are instructed, to “</w:t>
      </w:r>
      <w:r>
        <w:rPr>
          <w:rFonts w:cs="Times New Roman" w:ascii="Times New Roman" w:hAnsi="Times New Roman"/>
          <w:sz w:val="23"/>
          <w:lang w:eastAsia="en-US"/>
        </w:rPr>
        <w:t xml:space="preserve">the extent necessary or appropriate in the public interest, to promote fair competition, and consistent with promotion of market efficiency, innovation, and expansion of investment opportunities, the protection of investors, and the maintenance of fair and orderly markets,” </w:t>
      </w:r>
      <w:r>
        <w:rPr>
          <w:rFonts w:cs="Times New Roman" w:ascii="Times New Roman" w:hAnsi="Times New Roman"/>
          <w:sz w:val="23"/>
        </w:rPr>
        <w:t>to adopt regulations to permit the offer and sale of security futures products that are traded on a foreign exchange.  Recognizing that few foreign securities markets are as large and as liquid as the US markets, the bill further instructs the agencies to take into account “the nature and size of the markets that the securities underlying the security futures product reflects.”  Although the legislation does not establish a specific timeframe by which these rules must be adopted, SEC staff has indicated that they should be in place at approximately the same time that US trading facilities are permitted to offer security futures products for trading.</w:t>
      </w:r>
    </w:p>
    <w:p>
      <w:pPr>
        <w:pStyle w:val="BodyText"/>
        <w:ind w:start="720" w:end="720"/>
        <w:rPr>
          <w:rFonts w:ascii="Times New Roman" w:hAnsi="Times New Roman" w:cs="Times New Roman"/>
          <w:sz w:val="23"/>
        </w:rPr>
      </w:pPr>
      <w:r>
        <w:rPr>
          <w:rFonts w:cs="Times New Roman"/>
          <w:sz w:val="23"/>
        </w:rPr>
      </w:r>
    </w:p>
    <w:p>
      <w:pPr>
        <w:pStyle w:val="BodyText"/>
        <w:ind w:firstLine="720" w:start="720" w:end="720"/>
        <w:rPr/>
      </w:pPr>
      <w:r>
        <w:rPr/>
        <w:t>The legislation also extends relief the CFTC previously had granted to FCMs and confirms that US FCMs may carry security futures products traded on a foreign exchange for customers located outside of the US, even if the products have not been approved for trading in the US.  As important, the bill provides that US eligible contract participants may make unsolicited purchases and sales of foreign security products to the same extent that they may purchase or sell the underlying security.  The only condition is that “any underlying security for such security futures products is traded principally on, by, or through any exchange or market located outside the United States.”  The term “principally” is not defined.</w:t>
      </w:r>
    </w:p>
    <w:p>
      <w:pPr>
        <w:pStyle w:val="BodyText"/>
        <w:ind w:start="720" w:end="720"/>
        <w:rPr/>
      </w:pPr>
      <w:r>
        <w:rPr/>
      </w:r>
    </w:p>
    <w:p>
      <w:pPr>
        <w:pStyle w:val="BodyText"/>
        <w:keepNext w:val="true"/>
        <w:ind w:start="720" w:end="720"/>
        <w:rPr>
          <w:b/>
        </w:rPr>
      </w:pPr>
      <w:r>
        <w:rPr>
          <w:b/>
        </w:rPr>
        <w:t>Eligible Contract Participants</w:t>
      </w:r>
    </w:p>
    <w:p>
      <w:pPr>
        <w:pStyle w:val="BodyText"/>
        <w:keepNext w:val="true"/>
        <w:ind w:start="720" w:end="720"/>
        <w:rPr/>
      </w:pPr>
      <w:r>
        <w:rPr/>
      </w:r>
    </w:p>
    <w:p>
      <w:pPr>
        <w:pStyle w:val="BodyText"/>
        <w:keepNext w:val="true"/>
        <w:ind w:firstLine="720" w:start="720" w:end="720"/>
        <w:rPr/>
      </w:pPr>
      <w:r>
        <w:rPr/>
        <w:t>As noted earlier, the legislation grants a number of exclusions and exemptions from the CEA for transactions effected by or on behalf eligible contract participants.  The definition of eligible contract participants is based on the definition of “eligible swap participants” set forth in the CFTC’s Part 35 rules.  This class includes otherwise regulated entities such as financial institutions, insurance companies, registered investment companies, commodity pools with assets in excess of $5 million, certain employee benefit plans, certain governmental entities, broker-dealers (and foreign persons performing a similar function subject to foreign regulation), investment bank holding companies, and FCMs (and foreign persons performing a similar function subject to foreign regulation).  Also included are corporations and individuals with total assets exceeding $10 million.  Individuals who enter into a transaction “in order to manage the risk associated with an asset owned or liability incurred, or reasonably likely to be owned or incurred” are required to have only $5 million in assets.  Finally, the class includes investment advisers subject to regulation under the Investment Advisers Act, commodity trading advisors subject to regulation under the CEA, foreign persons performing a similar function and subject to foreign regulation, and other registered entities acting as an investment manager or fiduciary for another eligible contract participant.</w:t>
      </w:r>
    </w:p>
    <w:p>
      <w:pPr>
        <w:pStyle w:val="BodyText"/>
        <w:ind w:start="720" w:end="720"/>
        <w:rPr/>
      </w:pPr>
      <w:r>
        <w:rPr/>
      </w:r>
    </w:p>
    <w:p>
      <w:pPr>
        <w:pStyle w:val="BodyText"/>
        <w:ind w:firstLine="720" w:start="720" w:end="720"/>
        <w:rPr/>
      </w:pPr>
      <w:r>
        <w:rPr/>
        <w:t>Within the class of eligible contract participants is a group identified as “eligible commercial participants.”  This smaller group includes financial institutions, insurance companies, corporations with assets exceeding $10 million, US governmental entities, broker-dealers and FCMs that: (a) have a demonstrable ability, directly or through separate contractual arrangements, to make or take delivery of the underlying commodity; (b) incurs risk, in addition to price risk, related to the commodity; or (c) is a dealer that regularly provides risk management or hedging services to, or engages in market-making activities with, any such entities.  Also included are eligible contract participants with total assets of $100 million that regularly enter into agreements to purchase or sell the commodity or derivative transactions in the commodity, as well as certain collective investment vehicles whose participants are qualified eligible participants under CFTC rule 4.7, accredited investors with total assets of $2 million and certain qualified investors under the Investment Company Act.  The investment vehicle must have, or be one of a group of vehicles under common control or management that have, in the aggregate, $1 billion in assets.  Excluded from the group of eligible commercial participants are individuals, state and local governmental entities.</w:t>
      </w:r>
    </w:p>
    <w:p>
      <w:pPr>
        <w:pStyle w:val="BodyText"/>
        <w:ind w:start="720" w:end="720"/>
        <w:rPr/>
      </w:pPr>
      <w:r>
        <w:rPr/>
      </w:r>
    </w:p>
    <w:p>
      <w:pPr>
        <w:pStyle w:val="BodyText"/>
        <w:ind w:start="720" w:end="720"/>
        <w:rPr>
          <w:b/>
        </w:rPr>
      </w:pPr>
      <w:r>
        <w:rPr>
          <w:b/>
        </w:rPr>
        <w:t>Excluded and Exempt Commodities</w:t>
      </w:r>
    </w:p>
    <w:p>
      <w:pPr>
        <w:pStyle w:val="BodyText"/>
        <w:ind w:start="720" w:end="720"/>
        <w:rPr/>
      </w:pPr>
      <w:r>
        <w:rPr/>
      </w:r>
    </w:p>
    <w:p>
      <w:pPr>
        <w:pStyle w:val="BodyText"/>
        <w:ind w:firstLine="720" w:start="720" w:end="720"/>
        <w:rPr/>
      </w:pPr>
      <w:r>
        <w:rPr/>
        <w:t>The bill also distinguishes among different types of commodities—excluded commodities, exempt commodities and agricultural commodities.  Excluded commodities are interest rates, exchange rates, certain indices, including security indices, and measures that are not within the control of any party to the relevant transaction, not based in substantial part on a narrow group of commodities or are based on commodities that have no cash market.  Exempt commodities are all commodities except excluded commodities and agricultural commodities.</w:t>
      </w:r>
    </w:p>
    <w:p>
      <w:pPr>
        <w:pStyle w:val="BodyText"/>
        <w:ind w:start="720" w:end="720"/>
        <w:rPr/>
      </w:pPr>
      <w:r>
        <w:rPr/>
      </w:r>
    </w:p>
    <w:p>
      <w:pPr>
        <w:pStyle w:val="BodyText"/>
        <w:ind w:start="720" w:end="720"/>
        <w:rPr>
          <w:b/>
        </w:rPr>
      </w:pPr>
      <w:r>
        <w:rPr>
          <w:b/>
        </w:rPr>
        <w:t>Exclusions from the CEA</w:t>
      </w:r>
    </w:p>
    <w:p>
      <w:pPr>
        <w:pStyle w:val="BodyText"/>
        <w:ind w:start="720" w:end="720"/>
        <w:rPr/>
      </w:pPr>
      <w:r>
        <w:rPr/>
      </w:r>
    </w:p>
    <w:p>
      <w:pPr>
        <w:pStyle w:val="BodyText"/>
        <w:ind w:firstLine="720" w:start="720" w:end="720"/>
        <w:rPr/>
      </w:pPr>
      <w:r>
        <w:rPr/>
        <w:t xml:space="preserve">The bill clarifies the so-called Treasury Amendment, confirming the CFTC’s limited jurisdiction over the offer and sale of Treasury Amendment products.  Under new section 2(c) of the CEA, the CFTC has jurisdiction only over (a) the offer and sale of Treasury Amendment products that are traded on an organized exchange and (b) the over the counter offer and sale of foreign currency products to retail customers, </w:t>
      </w:r>
      <w:r>
        <w:rPr>
          <w:i/>
        </w:rPr>
        <w:t>i.e.</w:t>
      </w:r>
      <w:r>
        <w:rPr/>
        <w:t>, persons that are not within the class of eligible contract participants, by counterparties that are not otherwise regulated.  Regulated counterparties include financial institutions, insurance companies, financial holding companies, investment bank holding companies, broker dealers, FCMs and each of their affiliates.  The CFTC has retained limited antifraud and antimanipulation authority over FCMs and their unregulated affiliates engaged in this activity.</w:t>
      </w:r>
    </w:p>
    <w:p>
      <w:pPr>
        <w:pStyle w:val="BodyText"/>
        <w:ind w:start="720" w:end="720"/>
        <w:rPr/>
      </w:pPr>
      <w:r>
        <w:rPr/>
      </w:r>
    </w:p>
    <w:p>
      <w:pPr>
        <w:pStyle w:val="BodyText"/>
        <w:ind w:firstLine="720" w:start="720" w:end="720"/>
        <w:rPr/>
      </w:pPr>
      <w:r>
        <w:rPr/>
        <w:t xml:space="preserve">Also excluded from the CEA and CFTC’s jurisdiction are bilateral transactions in excluded commodities in which the parties are eligible contract participants.  Although the bill further provides that such an excluded transaction under may not be traded or executed on a trading facility, HR 5660 makes an exception for excluded transactions executed on an electronic trading facility, </w:t>
      </w:r>
      <w:r>
        <w:rPr>
          <w:i/>
        </w:rPr>
        <w:t>i.e.</w:t>
      </w:r>
      <w:r>
        <w:rPr/>
        <w:t>, a trading facility that operates by means of an electronic or telecommunications network and maintains an automated audit trail of bids, offers and the matching of orders or the execution of transactions on the facility.  Again, the transaction must be a principal-to-principal transaction between eligible contract participants.</w:t>
      </w:r>
    </w:p>
    <w:p>
      <w:pPr>
        <w:pStyle w:val="BodyText"/>
        <w:ind w:start="720" w:end="720"/>
        <w:rPr/>
      </w:pPr>
      <w:r>
        <w:rPr/>
      </w:r>
    </w:p>
    <w:p>
      <w:pPr>
        <w:pStyle w:val="BodyText"/>
        <w:ind w:firstLine="720" w:start="720" w:end="720"/>
        <w:rPr/>
      </w:pPr>
      <w:r>
        <w:rPr/>
        <w:t>Finally, the legislation excludes swaps and hybrid instruments from the provisions of the CEA and the jurisdiction of the CFTC.  To be certain that there could be no misunderstanding of congressional intent, the bill has two separate titles designed to assure legal certainty for swap transactions and to preclude the CFTC from asserting jurisdiction over swaps and other “identified banking products.”  In an extension of the current regulatory exemptions for these products, HR 5660 recognizes that they may be cleared through a regulated clearing organization, including clearing agencies subject to the jurisdiction of the SEC or the federal banking agencies.</w:t>
      </w:r>
    </w:p>
    <w:p>
      <w:pPr>
        <w:pStyle w:val="BodyText"/>
        <w:ind w:start="720" w:end="720"/>
        <w:rPr/>
      </w:pPr>
      <w:r>
        <w:rPr/>
      </w:r>
    </w:p>
    <w:p>
      <w:pPr>
        <w:pStyle w:val="BodyText"/>
        <w:ind w:start="720" w:end="720"/>
        <w:rPr>
          <w:b/>
        </w:rPr>
      </w:pPr>
      <w:r>
        <w:rPr>
          <w:b/>
        </w:rPr>
        <w:t>Commercial Exemption</w:t>
      </w:r>
    </w:p>
    <w:p>
      <w:pPr>
        <w:pStyle w:val="BodyText"/>
        <w:ind w:start="720" w:end="720"/>
        <w:rPr>
          <w:b/>
        </w:rPr>
      </w:pPr>
      <w:r>
        <w:rPr>
          <w:b/>
        </w:rPr>
      </w:r>
    </w:p>
    <w:p>
      <w:pPr>
        <w:pStyle w:val="BodyText"/>
        <w:ind w:firstLine="720" w:start="720" w:end="720"/>
        <w:rPr/>
      </w:pPr>
      <w:r>
        <w:rPr/>
        <w:t>Principal-to-principal transactions in exempt commodities between eligible contract participants are generally exempt from the provisions of the CEA, except the provisions relating to recognized clearing organizations and the antifraud and antimanipulation provisions.  In general, bilateral transactions in exempt commodities may not take advantage of the exclusions provided by these provisions of the bill unless they are not traded or executed on a trading facility.  However, transactions entered into between eligible commercial participants may be executed on an electronic trading facility, while taking advantage of the relief.  Among other requirements, the facility must file notice with the CFTC of its intent to operate, identify the commodities traded, make certain certifications concerning the principals operating the facility, provide the CFTC access to the facility’s trading protocols or agree to provide certain records to the CFTC upon special call.</w:t>
      </w:r>
    </w:p>
    <w:p>
      <w:pPr>
        <w:pStyle w:val="BodyText"/>
        <w:ind w:start="720" w:end="720"/>
        <w:rPr/>
      </w:pPr>
      <w:r>
        <w:rPr/>
      </w:r>
    </w:p>
    <w:p>
      <w:pPr>
        <w:pStyle w:val="BodyText"/>
        <w:ind w:start="720" w:end="720"/>
        <w:rPr>
          <w:b/>
        </w:rPr>
      </w:pPr>
      <w:r>
        <w:rPr>
          <w:b/>
        </w:rPr>
        <w:t>Market Reform</w:t>
      </w:r>
    </w:p>
    <w:p>
      <w:pPr>
        <w:pStyle w:val="BodyText"/>
        <w:ind w:start="720" w:end="720"/>
        <w:rPr>
          <w:b/>
        </w:rPr>
      </w:pPr>
      <w:r>
        <w:rPr>
          <w:b/>
        </w:rPr>
      </w:r>
    </w:p>
    <w:p>
      <w:pPr>
        <w:pStyle w:val="BodyText"/>
        <w:ind w:firstLine="720" w:start="720" w:end="720"/>
        <w:rPr/>
      </w:pPr>
      <w:r>
        <w:rPr/>
        <w:t>The legislation implements those provisions of the regulatory reform proposal the CFTC first announced last winter and promulgated as final in November.  The rules were to become effective on February 12, 2001.  The CFTC intends to withdraw these rules and revise them to conform to the legislation.</w:t>
      </w:r>
    </w:p>
    <w:p>
      <w:pPr>
        <w:pStyle w:val="BodyText"/>
        <w:ind w:start="720" w:end="720"/>
        <w:rPr/>
      </w:pPr>
      <w:r>
        <w:rPr/>
      </w:r>
    </w:p>
    <w:p>
      <w:pPr>
        <w:pStyle w:val="BodyText"/>
        <w:ind w:firstLine="720" w:start="720" w:end="720"/>
        <w:rPr/>
      </w:pPr>
      <w:r>
        <w:rPr/>
        <w:t>The differences between the provisions of HR 5660 and the CFTC’s proposal are subtle, but nonetheless important.  For example, the CFTC continued to distinguish between designated contract markets, on which only stock index contracts would be traded, and recognized futures exchanges (RFEs), on which all other commodity futures and options on futures contracts could be traded.  The legislation, on the other hand, does not establish RFE markets separate from designated contract markets.  Instead, the bill treats all contract markets as if they were RFEs.  That is, all contract markets will be governed by the set of core principals that the CFTC identified for RFEs.</w:t>
      </w:r>
    </w:p>
    <w:p>
      <w:pPr>
        <w:pStyle w:val="BodyText"/>
        <w:ind w:start="720" w:end="720"/>
        <w:rPr/>
      </w:pPr>
      <w:r>
        <w:rPr/>
      </w:r>
    </w:p>
    <w:p>
      <w:pPr>
        <w:pStyle w:val="BodyText"/>
        <w:ind w:firstLine="720" w:start="720" w:end="720"/>
        <w:rPr/>
      </w:pPr>
      <w:r>
        <w:rPr/>
        <w:t>The bill also authorizes less-regulated derivatives transaction execution facilities (DTFs).  Products that may be traded on DTFs are limited to those with respect to which: (a) the underlying commodity has a nearly inexhaustible supply; (b) the underlying commodity has a deliverable supply that is sufficiently large that the contract is highly susceptible to the threat of manipulation; (c) the underlying commodity has no cash market; (d) the contract is a securities futures product and the facility is registered as a national securities exchange; (e) the CFTC has determined that the contract is highly unlikely to be susceptible to the threat of manipulation; or (f) the underlying commodity is not an agricultural commodity.  Trading on DTFs is limited to eligible contract participants and, at the election of the facility, retail customers trading through an FCM that has net capital of at least $20 million.</w:t>
      </w:r>
    </w:p>
    <w:p>
      <w:pPr>
        <w:pStyle w:val="BodyText"/>
        <w:ind w:start="720" w:end="720"/>
        <w:rPr/>
      </w:pPr>
      <w:r>
        <w:rPr/>
      </w:r>
    </w:p>
    <w:p>
      <w:pPr>
        <w:pStyle w:val="BodyText"/>
        <w:ind w:firstLine="720" w:start="720" w:end="720"/>
        <w:rPr/>
      </w:pPr>
      <w:r>
        <w:rPr/>
        <w:t>The bill authorizes DTFs to permit broker-dealers and banks to act as intermediaries in transactions executed on the facility.  However, such entities may not hold customer funds for more than one business day, unless they are registered with the CFTC as FCMs.</w:t>
      </w:r>
    </w:p>
    <w:p>
      <w:pPr>
        <w:pStyle w:val="BodyText"/>
        <w:ind w:start="720" w:end="720"/>
        <w:rPr/>
      </w:pPr>
      <w:r>
        <w:rPr/>
      </w:r>
    </w:p>
    <w:p>
      <w:pPr>
        <w:pStyle w:val="BodyText"/>
        <w:ind w:firstLine="720" w:start="720" w:end="720"/>
        <w:rPr/>
      </w:pPr>
      <w:r>
        <w:rPr/>
        <w:t>Moreover, the legislation requires the CFTC to adopt regulations that will permit an eligible contract participant to elect to have its funds held in an account that is not subject to the segregation requirements of the CEA and CFTC regulations.  The CFTC must adopt these rules within 180 days of the effective date of the bill.</w:t>
      </w:r>
    </w:p>
    <w:p>
      <w:pPr>
        <w:pStyle w:val="BodyText"/>
        <w:ind w:start="720" w:end="720"/>
        <w:rPr/>
      </w:pPr>
      <w:r>
        <w:rPr/>
      </w:r>
    </w:p>
    <w:p>
      <w:pPr>
        <w:pStyle w:val="BodyText"/>
        <w:ind w:firstLine="720" w:start="720" w:end="720"/>
        <w:rPr/>
      </w:pPr>
      <w:r>
        <w:rPr/>
        <w:t>Finally, the legislation authorizes exempt boards of trade to register with the CFTC.  Transactions on exempt boards of trade may be effected only between eligible contract participants.  Retail participants are not permitted under any circumstances.  Products that may be traded on exempt boards of trade are limited to those with respect to which: (a) the underlying commodity has a nearly inexhaustible supply; (b) the underlying commodity has a deliverable supply that is sufficiently large that the contract is highly susceptible to the threat of manipulation; and (c) the underlying commodity has no cash market.  In contrast to DTFs, no contracts involving securities, including exempt securities, may be traded on an exempt board of trade.</w:t>
      </w:r>
    </w:p>
    <w:p>
      <w:pPr>
        <w:pStyle w:val="BodyText"/>
        <w:ind w:start="720" w:end="720"/>
        <w:rPr/>
      </w:pPr>
      <w:r>
        <w:rPr/>
      </w:r>
    </w:p>
    <w:p>
      <w:pPr>
        <w:pStyle w:val="BodyText"/>
        <w:ind w:firstLine="720" w:start="720" w:end="720"/>
        <w:rPr/>
      </w:pPr>
      <w:r>
        <w:rPr/>
        <w:t>The CFTC will have exclusive jurisdiction over any transactions effected on an exempt board of trade that registers with it.  In this regard, if it finds that the exempt board of trade is a “significant source of price discovery for transactions in the cash market for the commodity underlying any contract,” the CFTC is authorized to require an exempt board of trade to disseminate daily trading volume, opening and closing price ranges, open interest, and other trading data as appropriate to the market.  Exempt boards of trade that register with the CFTC are subject to the antifraud and anti-manipulation provisions of the CEA.</w:t>
      </w:r>
    </w:p>
    <w:p>
      <w:pPr>
        <w:pStyle w:val="BodyText"/>
        <w:ind w:start="720" w:end="720"/>
        <w:rPr/>
      </w:pPr>
      <w:r>
        <w:rPr/>
      </w:r>
    </w:p>
    <w:p>
      <w:pPr>
        <w:pStyle w:val="BodyText"/>
        <w:ind w:firstLine="720" w:start="720" w:end="720"/>
        <w:rPr/>
      </w:pPr>
      <w:r>
        <w:rPr/>
        <w:t>Perhaps the most significant difference between the provisions of the CFTC’s regulatory reform proposal and the legislation is the manner in which it treats products traded on DTFs and exempt boards of trade.  In promulgating its rules, the CFTC specifically stated that it would not make any finding that products traded on a DTF or an exempt facility are futures contracts subject to its jurisdiction.  (The CFTC emphasized, however, that it would not “entertain applications for recognition from markets or facilities offering transactions that are clearly outside of its jurisdiction.”)  In contrast, the legislation effectively provides that all products traded on designated contract markets, DTFs and exempt markets for which notice is filed with the CFTC are contracts for the offer and sale of a commodity for future delivery.  On the other hand, if a product is traded pursuant to one of the exclusions or exemptions created in the CEA, no presumption is made that the product is subject to the CEA or that the CFTC has jurisdiction over any such product.</w:t>
      </w:r>
    </w:p>
    <w:p>
      <w:pPr>
        <w:pStyle w:val="BodyText"/>
        <w:ind w:start="720" w:end="720"/>
        <w:rPr/>
      </w:pPr>
      <w:r>
        <w:rPr/>
      </w:r>
    </w:p>
    <w:p>
      <w:pPr>
        <w:pStyle w:val="BodyText"/>
        <w:ind w:start="720" w:end="720"/>
        <w:rPr>
          <w:b/>
        </w:rPr>
      </w:pPr>
      <w:r>
        <w:rPr>
          <w:b/>
        </w:rPr>
        <w:t>Derivatives Clearing Organizations</w:t>
      </w:r>
    </w:p>
    <w:p>
      <w:pPr>
        <w:pStyle w:val="BodyText"/>
        <w:ind w:start="720" w:end="720"/>
        <w:rPr>
          <w:b/>
        </w:rPr>
      </w:pPr>
      <w:r>
        <w:rPr>
          <w:b/>
        </w:rPr>
      </w:r>
    </w:p>
    <w:p>
      <w:pPr>
        <w:pStyle w:val="Normal"/>
        <w:ind w:firstLine="720" w:start="720" w:end="720"/>
        <w:jc w:val="both"/>
        <w:rPr>
          <w:rFonts w:ascii="Times New Roman" w:hAnsi="Times New Roman" w:cs="Times New Roman"/>
          <w:sz w:val="23"/>
        </w:rPr>
      </w:pPr>
      <w:r>
        <w:rPr>
          <w:rFonts w:cs="Times New Roman" w:ascii="Times New Roman" w:hAnsi="Times New Roman"/>
          <w:sz w:val="23"/>
        </w:rPr>
        <w:t>As with the CFTC’s regulatory reform proposal, HR 5660 provides for the registration of derivatives clearing organizations, governed by a set of core principles.  The bill further recognizes that clearing agencies regulated by the SEC, banking regulatory agencies and foreign financial regulatory authorities may clear over-the-counter derivatives instruments.</w:t>
      </w:r>
      <w:r>
        <w:rPr>
          <w:rFonts w:cs="Times New Roman" w:ascii="Times New Roman" w:hAnsi="Times New Roman"/>
          <w:sz w:val="23"/>
          <w:lang w:eastAsia="en-US"/>
        </w:rPr>
        <w:t xml:space="preserve">  The legislation alss confirms that a derivatives clearing organization does not include an entity, facility, system, or organization solely because it arranges or provides for (i) settlement, netting, or novation of obligations resulting from agreements, contracts, or transactions, on a bilateral basis and without a central counterparty; (ii) settlement or netting of cash payments through an interbank payment system; or (iii) settlement, netting, or novation of obligations resulting from a sale of a commodity in a transaction in the spot market for the commodity.</w:t>
      </w:r>
    </w:p>
    <w:p>
      <w:pPr>
        <w:pStyle w:val="BodyText"/>
        <w:ind w:start="720" w:end="720"/>
        <w:rPr>
          <w:rFonts w:ascii="Times New Roman" w:hAnsi="Times New Roman" w:cs="Times New Roman"/>
          <w:sz w:val="23"/>
        </w:rPr>
      </w:pPr>
      <w:r>
        <w:rPr>
          <w:rFonts w:cs="Times New Roman"/>
          <w:sz w:val="23"/>
        </w:rPr>
      </w:r>
    </w:p>
    <w:p>
      <w:pPr>
        <w:pStyle w:val="BodyText"/>
        <w:keepNext w:val="true"/>
        <w:ind w:start="720" w:end="720"/>
        <w:rPr>
          <w:b/>
        </w:rPr>
      </w:pPr>
      <w:r>
        <w:rPr>
          <w:b/>
        </w:rPr>
        <w:t>Core Principles for Intermediaries</w:t>
      </w:r>
    </w:p>
    <w:p>
      <w:pPr>
        <w:pStyle w:val="BodyText"/>
        <w:keepNext w:val="true"/>
        <w:ind w:start="720" w:end="720"/>
        <w:rPr>
          <w:b/>
        </w:rPr>
      </w:pPr>
      <w:r>
        <w:rPr>
          <w:b/>
        </w:rPr>
      </w:r>
    </w:p>
    <w:p>
      <w:pPr>
        <w:pStyle w:val="BodyTextIndent"/>
        <w:keepNext w:val="true"/>
        <w:ind w:start="720" w:end="720"/>
        <w:rPr/>
      </w:pPr>
      <w:r>
        <w:rPr/>
        <w:t>At FIA’s urging, the bill contains a provision requiring the CFTC to conduct a study of the CEA and the CFTC’s regulations governing the conduct of intermediaries subject to its jurisdiction.  The study must identify: (a) the core principles and interpretations of acceptable business practices that the Commission has adopted or intends to adopt to replace the provisions of the Act and the Commission’s rules and regulations thereunder; (b) the rules and regulations that the Commission has determined must be retained and the reasons therefor; (c) the extent to which the Commission believes it can effect the changes identified in paragraph (a) through its exemptive authority under section 4(c) of this Act; and (d) the regulatory functions the Commission currently performs that can be delegated to a registered futures association and the regulatory functions that the Commission has determined must be retained and the reasons therefor.  The CFTC is required to complete the study and file a report with the appropriate committees on Congress within one year of the effective date of the bill.</w:t>
      </w:r>
    </w:p>
    <w:p>
      <w:pPr>
        <w:pStyle w:val="Normal"/>
        <w:ind w:start="720" w:end="720"/>
        <w:jc w:val="both"/>
        <w:rPr>
          <w:rFonts w:ascii="Times New Roman" w:hAnsi="Times New Roman" w:cs="Times New Roman"/>
          <w:sz w:val="23"/>
        </w:rPr>
      </w:pPr>
      <w:r>
        <w:rPr>
          <w:rFonts w:cs="Times New Roman" w:ascii="Times New Roman" w:hAnsi="Times New Roman"/>
          <w:sz w:val="23"/>
        </w:rPr>
      </w:r>
    </w:p>
    <w:p>
      <w:pPr>
        <w:pStyle w:val="Normal"/>
        <w:ind w:start="720" w:end="720"/>
        <w:jc w:val="both"/>
        <w:rPr>
          <w:rFonts w:ascii="Times New Roman" w:hAnsi="Times New Roman" w:cs="Times New Roman"/>
          <w:sz w:val="23"/>
        </w:rPr>
      </w:pPr>
      <w:r>
        <w:rPr>
          <w:rFonts w:cs="Times New Roman" w:ascii="Times New Roman" w:hAnsi="Times New Roman"/>
          <w:sz w:val="23"/>
        </w:rPr>
      </w:r>
    </w:p>
    <w:p>
      <w:pPr>
        <w:pStyle w:val="Normal"/>
        <w:ind w:start="720" w:end="720"/>
        <w:jc w:val="both"/>
        <w:rPr>
          <w:rFonts w:ascii="Times New Roman" w:hAnsi="Times New Roman" w:cs="Times New Roman"/>
          <w:sz w:val="23"/>
        </w:rPr>
      </w:pPr>
      <w:r>
        <w:rPr>
          <w:rFonts w:cs="Times New Roman" w:ascii="Times New Roman" w:hAnsi="Times New Roman"/>
          <w:sz w:val="23"/>
        </w:rPr>
        <w:t>December 19, 2000</w:t>
      </w:r>
    </w:p>
    <w:p>
      <w:pPr>
        <w:pStyle w:val="Normal"/>
        <w:ind w:start="720" w:end="720"/>
        <w:jc w:val="both"/>
        <w:rPr>
          <w:rFonts w:ascii="Times New Roman" w:hAnsi="Times New Roman" w:cs="Times New Roman"/>
          <w:sz w:val="22"/>
        </w:rPr>
      </w:pPr>
      <w:r>
        <w:rPr>
          <w:rFonts w:cs="Times New Roman" w:ascii="Times New Roman" w:hAnsi="Times New Roman"/>
          <w:sz w:val="22"/>
        </w:rPr>
      </w:r>
    </w:p>
    <w:p>
      <w:pPr>
        <w:pStyle w:val="Normal"/>
        <w:ind w:start="720" w:end="720"/>
        <w:jc w:val="end"/>
        <w:rPr>
          <w:rFonts w:ascii="Times New Roman" w:hAnsi="Times New Roman" w:cs="Times New Roman"/>
          <w:sz w:val="22"/>
        </w:rPr>
      </w:pPr>
      <w:r>
        <w:rPr>
          <w:rFonts w:cs="Times New Roman" w:ascii="Times New Roman" w:hAnsi="Times New Roman"/>
          <w:sz w:val="22"/>
        </w:rPr>
        <w:t>Prepared for the Futures Industry Association by</w:t>
      </w:r>
    </w:p>
    <w:p>
      <w:pPr>
        <w:pStyle w:val="Normal"/>
        <w:ind w:start="720" w:end="720"/>
        <w:jc w:val="end"/>
        <w:rPr>
          <w:rFonts w:ascii="Times New Roman" w:hAnsi="Times New Roman" w:cs="Times New Roman"/>
          <w:sz w:val="22"/>
        </w:rPr>
      </w:pPr>
      <w:r>
        <w:rPr>
          <w:rFonts w:cs="Times New Roman" w:ascii="Times New Roman" w:hAnsi="Times New Roman"/>
          <w:sz w:val="22"/>
        </w:rPr>
      </w:r>
    </w:p>
    <w:p>
      <w:pPr>
        <w:pStyle w:val="Normal"/>
        <w:ind w:start="7470" w:end="720"/>
        <w:jc w:val="both"/>
        <w:rPr>
          <w:rFonts w:ascii="Times New Roman" w:hAnsi="Times New Roman" w:cs="Times New Roman"/>
          <w:sz w:val="22"/>
        </w:rPr>
      </w:pPr>
      <w:r>
        <w:rPr>
          <w:rFonts w:cs="Times New Roman" w:ascii="Times New Roman" w:hAnsi="Times New Roman"/>
          <w:sz w:val="22"/>
        </w:rPr>
        <w:t>Kevin M. Foley</w:t>
      </w:r>
    </w:p>
    <w:p>
      <w:pPr>
        <w:pStyle w:val="Normal"/>
        <w:ind w:start="7470" w:end="720"/>
        <w:jc w:val="both"/>
        <w:rPr>
          <w:rFonts w:ascii="Times New Roman" w:hAnsi="Times New Roman" w:cs="Times New Roman"/>
          <w:sz w:val="22"/>
        </w:rPr>
      </w:pPr>
      <w:r>
        <w:rPr>
          <w:rFonts w:cs="Times New Roman" w:ascii="Times New Roman" w:hAnsi="Times New Roman"/>
          <w:sz w:val="22"/>
        </w:rPr>
        <w:t>Quincy Law Group</w:t>
      </w:r>
    </w:p>
    <w:p>
      <w:pPr>
        <w:pStyle w:val="Normal"/>
        <w:ind w:start="7470" w:end="720"/>
        <w:jc w:val="both"/>
        <w:rPr>
          <w:rFonts w:ascii="Times New Roman" w:hAnsi="Times New Roman" w:cs="Times New Roman"/>
          <w:sz w:val="22"/>
        </w:rPr>
      </w:pPr>
      <w:r>
        <w:rPr>
          <w:rFonts w:cs="Times New Roman" w:ascii="Times New Roman" w:hAnsi="Times New Roman"/>
          <w:sz w:val="22"/>
        </w:rPr>
        <w:t>Chicago IL</w:t>
      </w:r>
    </w:p>
    <w:sectPr>
      <w:headerReference w:type="default" r:id="rId6"/>
      <w:footerReference w:type="default" r:id="rId7"/>
      <w:footerReference w:type="first" r:id="rId8"/>
      <w:type w:val="nextPage"/>
      <w:pgSz w:w="12240" w:h="15840"/>
      <w:pgMar w:left="1152" w:right="1152" w:gutter="0" w:header="720" w:top="172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BalloonDExtBol">
    <w:altName w:val="Times New Roman"/>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rStyle w:val="PageNumber"/>
                              <w:rFonts w:ascii="Times New Roman" w:hAnsi="Times New Roman" w:cs="Times New Roman"/>
                              <w:sz w:val="23"/>
                            </w:rPr>
                          </w:pPr>
                          <w:r>
                            <w:rPr>
                              <w:rStyle w:val="PageNumber"/>
                              <w:rFonts w:cs="Times New Roman" w:ascii="Times New Roman" w:hAnsi="Times New Roman"/>
                              <w:sz w:val="23"/>
                            </w:rPr>
                            <w:fldChar w:fldCharType="begin"/>
                          </w:r>
                          <w:r>
                            <w:rPr>
                              <w:rStyle w:val="PageNumber"/>
                              <w:sz w:val="23"/>
                              <w:rFonts w:cs="Times New Roman" w:ascii="Times New Roman" w:hAnsi="Times New Roman"/>
                            </w:rPr>
                            <w:instrText xml:space="preserve"> PAGE </w:instrText>
                          </w:r>
                          <w:r>
                            <w:rPr>
                              <w:rStyle w:val="PageNumber"/>
                              <w:sz w:val="23"/>
                              <w:rFonts w:cs="Times New Roman" w:ascii="Times New Roman" w:hAnsi="Times New Roman"/>
                            </w:rPr>
                            <w:fldChar w:fldCharType="separate"/>
                          </w:r>
                          <w:r>
                            <w:rPr>
                              <w:rStyle w:val="PageNumber"/>
                              <w:sz w:val="23"/>
                              <w:rFonts w:cs="Times New Roman" w:ascii="Times New Roman" w:hAnsi="Times New Roman"/>
                            </w:rPr>
                            <w:t>0</w:t>
                          </w:r>
                          <w:r>
                            <w:rPr>
                              <w:rStyle w:val="PageNumber"/>
                              <w:sz w:val="23"/>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Times New Roman" w:hAnsi="Times New Roman" w:cs="Times New Roman"/>
                        <w:sz w:val="23"/>
                      </w:rPr>
                    </w:pPr>
                    <w:r>
                      <w:rPr>
                        <w:rStyle w:val="PageNumber"/>
                        <w:rFonts w:cs="Times New Roman" w:ascii="Times New Roman" w:hAnsi="Times New Roman"/>
                        <w:sz w:val="23"/>
                      </w:rPr>
                      <w:fldChar w:fldCharType="begin"/>
                    </w:r>
                    <w:r>
                      <w:rPr>
                        <w:rStyle w:val="PageNumber"/>
                        <w:sz w:val="23"/>
                        <w:rFonts w:cs="Times New Roman" w:ascii="Times New Roman" w:hAnsi="Times New Roman"/>
                      </w:rPr>
                      <w:instrText xml:space="preserve"> PAGE </w:instrText>
                    </w:r>
                    <w:r>
                      <w:rPr>
                        <w:rStyle w:val="PageNumber"/>
                        <w:sz w:val="23"/>
                        <w:rFonts w:cs="Times New Roman" w:ascii="Times New Roman" w:hAnsi="Times New Roman"/>
                      </w:rPr>
                      <w:fldChar w:fldCharType="separate"/>
                    </w:r>
                    <w:r>
                      <w:rPr>
                        <w:rStyle w:val="PageNumber"/>
                        <w:sz w:val="23"/>
                        <w:rFonts w:cs="Times New Roman" w:ascii="Times New Roman" w:hAnsi="Times New Roman"/>
                      </w:rPr>
                      <w:t>0</w:t>
                    </w:r>
                    <w:r>
                      <w:rPr>
                        <w:rStyle w:val="PageNumber"/>
                        <w:sz w:val="23"/>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3660" cy="167640"/>
              <wp:effectExtent l="0" t="0" r="0" b="0"/>
              <wp:wrapSquare wrapText="bothSides"/>
              <wp:docPr id="5" name="Frame5"/>
              <a:graphic xmlns:a="http://schemas.openxmlformats.org/drawingml/2006/main">
                <a:graphicData uri="http://schemas.microsoft.com/office/word/2010/wordprocessingShape">
                  <wps:wsp>
                    <wps:cNvSpPr txBox="1"/>
                    <wps:spPr>
                      <a:xfrm>
                        <a:off x="0" y="0"/>
                        <a:ext cx="73660" cy="167640"/>
                      </a:xfrm>
                      <a:prstGeom prst="rect"/>
                      <a:solidFill>
                        <a:srgbClr val="FFFFFF">
                          <a:alpha val="0"/>
                        </a:srgbClr>
                      </a:solidFill>
                    </wps:spPr>
                    <wps:txbx>
                      <w:txbxContent>
                        <w:p>
                          <w:pPr>
                            <w:pStyle w:val="Footer"/>
                            <w:rPr/>
                          </w:pPr>
                          <w:r>
                            <w:rPr>
                              <w:rStyle w:val="PageNumber"/>
                              <w:rFonts w:cs="Times New Roman" w:ascii="Times New Roman" w:hAnsi="Times New Roman"/>
                              <w:sz w:val="23"/>
                            </w:rPr>
                            <w:fldChar w:fldCharType="begin"/>
                          </w:r>
                          <w:r>
                            <w:rPr>
                              <w:rStyle w:val="PageNumber"/>
                              <w:sz w:val="23"/>
                              <w:rFonts w:cs="Times New Roman" w:ascii="Times New Roman" w:hAnsi="Times New Roman"/>
                            </w:rPr>
                            <w:instrText xml:space="preserve"> PAGE </w:instrText>
                          </w:r>
                          <w:r>
                            <w:rPr>
                              <w:rStyle w:val="PageNumber"/>
                              <w:sz w:val="23"/>
                              <w:rFonts w:cs="Times New Roman" w:ascii="Times New Roman" w:hAnsi="Times New Roman"/>
                            </w:rPr>
                            <w:fldChar w:fldCharType="separate"/>
                          </w:r>
                          <w:r>
                            <w:rPr>
                              <w:rStyle w:val="PageNumber"/>
                              <w:sz w:val="23"/>
                              <w:rFonts w:cs="Times New Roman" w:ascii="Times New Roman" w:hAnsi="Times New Roman"/>
                            </w:rPr>
                            <w:t>9</w:t>
                          </w:r>
                          <w:r>
                            <w:rPr>
                              <w:rStyle w:val="PageNumber"/>
                              <w:sz w:val="23"/>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pt;height:13.2pt;mso-wrap-distance-left:0pt;mso-wrap-distance-right:0pt;mso-wrap-distance-top:0pt;mso-wrap-distance-bottom:0pt;margin-top:0.05pt;mso-position-vertical-relative:text;margin-left:245.5pt;mso-position-horizontal:center;mso-position-horizontal-relative:margin">
              <v:fill opacity="0f"/>
              <v:textbox inset="0in,0in,0in,0in">
                <w:txbxContent>
                  <w:p>
                    <w:pPr>
                      <w:pStyle w:val="Footer"/>
                      <w:rPr/>
                    </w:pPr>
                    <w:r>
                      <w:rPr>
                        <w:rStyle w:val="PageNumber"/>
                        <w:rFonts w:cs="Times New Roman" w:ascii="Times New Roman" w:hAnsi="Times New Roman"/>
                        <w:sz w:val="23"/>
                      </w:rPr>
                      <w:fldChar w:fldCharType="begin"/>
                    </w:r>
                    <w:r>
                      <w:rPr>
                        <w:rStyle w:val="PageNumber"/>
                        <w:sz w:val="23"/>
                        <w:rFonts w:cs="Times New Roman" w:ascii="Times New Roman" w:hAnsi="Times New Roman"/>
                      </w:rPr>
                      <w:instrText xml:space="preserve"> PAGE </w:instrText>
                    </w:r>
                    <w:r>
                      <w:rPr>
                        <w:rStyle w:val="PageNumber"/>
                        <w:sz w:val="23"/>
                        <w:rFonts w:cs="Times New Roman" w:ascii="Times New Roman" w:hAnsi="Times New Roman"/>
                      </w:rPr>
                      <w:fldChar w:fldCharType="separate"/>
                    </w:r>
                    <w:r>
                      <w:rPr>
                        <w:rStyle w:val="PageNumber"/>
                        <w:sz w:val="23"/>
                        <w:rFonts w:cs="Times New Roman" w:ascii="Times New Roman" w:hAnsi="Times New Roman"/>
                      </w:rPr>
                      <w:t>9</w:t>
                    </w:r>
                    <w:r>
                      <w:rPr>
                        <w:rStyle w:val="PageNumber"/>
                        <w:sz w:val="23"/>
                        <w:rFonts w:cs="Times New Roman" w:ascii="Times New Roman" w:hAnsi="Times New Roman"/>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b/>
        <w:sz w:val="20"/>
      </w:rPr>
    </w:pPr>
    <w:r>
      <w:rPr>
        <w:b/>
        <w:sz w:val="20"/>
      </w:rPr>
      <w:t>Futures Industry Association, Inc.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keepNext w:val="true"/>
      <w:numPr>
        <w:ilvl w:val="1"/>
        <w:numId w:val="1"/>
      </w:numPr>
      <w:jc w:val="both"/>
      <w:outlineLvl w:val="1"/>
    </w:pPr>
    <w:rPr>
      <w:rFonts w:ascii="Helvetica" w:hAnsi="Helvetica" w:cs="Helvetica"/>
      <w:b/>
      <w:spacing w:val="32"/>
      <w:sz w:val="40"/>
    </w:rPr>
  </w:style>
  <w:style w:type="paragraph" w:styleId="Heading3">
    <w:name w:val="heading 3"/>
    <w:basedOn w:val="Normal"/>
    <w:next w:val="Normal"/>
    <w:qFormat/>
    <w:pPr>
      <w:keepNext w:val="true"/>
      <w:numPr>
        <w:ilvl w:val="2"/>
        <w:numId w:val="1"/>
      </w:numPr>
      <w:ind w:hanging="0" w:start="720" w:end="1008"/>
      <w:jc w:val="center"/>
      <w:outlineLvl w:val="2"/>
    </w:pPr>
    <w:rPr>
      <w:b/>
    </w:rPr>
  </w:style>
  <w:style w:type="paragraph" w:styleId="Heading4">
    <w:name w:val="heading 4"/>
    <w:basedOn w:val="Normal"/>
    <w:next w:val="Normal"/>
    <w:qFormat/>
    <w:pPr>
      <w:keepNext w:val="true"/>
      <w:numPr>
        <w:ilvl w:val="3"/>
        <w:numId w:val="1"/>
      </w:numPr>
      <w:ind w:hanging="0" w:start="0" w:end="1008"/>
      <w:outlineLvl w:val="3"/>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b/>
    </w:rPr>
  </w:style>
  <w:style w:type="character" w:styleId="WW8Num11z0">
    <w:name w:val="WW8Num11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b/>
    </w:rPr>
  </w:style>
  <w:style w:type="character" w:styleId="WW8Num17z0">
    <w:name w:val="WW8Num17z0"/>
    <w:qFormat/>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3"/>
    </w:rPr>
  </w:style>
  <w:style w:type="paragraph" w:styleId="BodyText">
    <w:name w:val="Body Text"/>
    <w:basedOn w:val="Normal"/>
    <w:pPr>
      <w:jc w:val="both"/>
    </w:pPr>
    <w:rPr>
      <w:rFonts w:ascii="Times New Roman" w:hAnsi="Times New Roman" w:cs="Times New Roman"/>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rFonts w:ascii="Times New Roman" w:hAnsi="Times New Roman" w:cs="Times New Roman"/>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2000-12-19T20:40:00Z</dcterms:created>
  <dc:creator>Authorized Gateway Customer</dc:creator>
  <dc:description/>
  <dc:language>en-CA</dc:language>
  <cp:lastModifiedBy>User</cp:lastModifiedBy>
  <cp:lastPrinted>2000-12-19T16:57:00Z</cp:lastPrinted>
  <dcterms:modified xsi:type="dcterms:W3CDTF">2000-12-19T20:40:00Z</dcterms:modified>
  <cp:revision>2</cp:revision>
  <dc:subject/>
  <dc:title>FAX</dc:title>
</cp:coreProperties>
</file>