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sz w:val="22"/>
          <w:szCs w:val="22"/>
        </w:rPr>
        <w:t>ATTACHMENT 1</w:t>
      </w:r>
    </w:p>
    <w:p>
      <w:pPr>
        <w:pStyle w:val="Normal"/>
        <w:jc w:val="center"/>
        <w:rPr>
          <w:sz w:val="22"/>
          <w:szCs w:val="22"/>
        </w:rPr>
      </w:pPr>
      <w:r>
        <w:rPr>
          <w:sz w:val="22"/>
          <w:szCs w:val="22"/>
        </w:rPr>
      </w:r>
    </w:p>
    <w:p>
      <w:pPr>
        <w:pStyle w:val="Normal"/>
        <w:jc w:val="center"/>
        <w:rPr>
          <w:sz w:val="22"/>
          <w:szCs w:val="22"/>
        </w:rPr>
      </w:pPr>
      <w:r>
        <w:rPr>
          <w:sz w:val="22"/>
          <w:szCs w:val="22"/>
        </w:rPr>
        <w:t>FORM OF LEGAL OPINION</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spacing w:before="0" w:after="720"/>
        <w:jc w:val="center"/>
        <w:rPr>
          <w:sz w:val="22"/>
          <w:szCs w:val="22"/>
        </w:rPr>
      </w:pPr>
      <w:r>
        <w:rPr>
          <w:sz w:val="22"/>
          <w:szCs w:val="22"/>
        </w:rPr>
        <w:t>[Letterhead of Outside Legal Counsel]</w:t>
      </w:r>
    </w:p>
    <w:p>
      <w:pPr>
        <w:pStyle w:val="Normal"/>
        <w:spacing w:before="0" w:after="720"/>
        <w:jc w:val="center"/>
        <w:rPr>
          <w:sz w:val="22"/>
          <w:szCs w:val="22"/>
        </w:rPr>
      </w:pPr>
      <w:r>
        <w:rPr>
          <w:sz w:val="22"/>
          <w:szCs w:val="22"/>
        </w:rPr>
        <w:t>[Date]</w:t>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spacing w:before="0" w:after="240"/>
        <w:rPr>
          <w:sz w:val="22"/>
          <w:szCs w:val="22"/>
        </w:rPr>
      </w:pPr>
      <w:r>
        <w:rPr>
          <w:sz w:val="22"/>
          <w:szCs w:val="22"/>
        </w:rPr>
        <w:t>Houston, Texas  77002</w:t>
      </w:r>
    </w:p>
    <w:p>
      <w:pPr>
        <w:pStyle w:val="Normal"/>
        <w:spacing w:before="0" w:after="240"/>
        <w:ind w:hanging="720" w:start="2160" w:end="0"/>
        <w:jc w:val="both"/>
        <w:rPr>
          <w:sz w:val="22"/>
          <w:szCs w:val="22"/>
        </w:rPr>
      </w:pPr>
      <w:r>
        <w:rPr>
          <w:sz w:val="22"/>
          <w:szCs w:val="22"/>
        </w:rPr>
        <w:t>Re:</w:t>
        <w:tab/>
        <w:t>Master Agreement between Enron North America Corp. (“Enron”) and HQ Energy Services (U.S.) Inc. (“Counterparty”) and Guaranty by Hydro-Quebec (“Guarantor”)</w:t>
      </w:r>
    </w:p>
    <w:p>
      <w:pPr>
        <w:pStyle w:val="Normal"/>
        <w:spacing w:before="0" w:after="240"/>
        <w:rPr>
          <w:sz w:val="22"/>
          <w:szCs w:val="22"/>
        </w:rPr>
      </w:pPr>
      <w:r>
        <w:rPr>
          <w:sz w:val="22"/>
          <w:szCs w:val="22"/>
        </w:rPr>
        <w:t>Ladies and Gentlemen:</w:t>
      </w:r>
    </w:p>
    <w:p>
      <w:pPr>
        <w:pStyle w:val="Normal"/>
        <w:spacing w:before="0" w:after="240"/>
        <w:ind w:firstLine="1440" w:end="0"/>
        <w:jc w:val="both"/>
        <w:rPr>
          <w:sz w:val="22"/>
          <w:szCs w:val="22"/>
        </w:rPr>
      </w:pPr>
      <w:r>
        <w:rPr>
          <w:sz w:val="22"/>
          <w:szCs w:val="22"/>
        </w:rPr>
        <w:t>We are attorneys admitted to practice law in the Province of Quebec, Canada (the “Relevant Jurisdiction”), and we are generally familiar with the affairs of Guarantor.  We have examined and are familiar with (i) the documents relating to the creation, authorization, organization, existence, and operation of Guarantor, (ii) the ISDA Master Agreement, dated as of _______________, by and between Counterparty and Enron (together with the Schedule thereto, any other documents incorporated by reference therein or made a part thereof, collectively, the “Swap Agreement”), (iii) the Guaranty Agreement dated _________________, by Guarantor (the “Guaranty”), (iv) all necessary documentation relating to the authorization, execution, delivery, and performance of the Guaranty by Guarantor, and (v) such other records, documents, and instruments as we deemed advisable.</w:t>
      </w:r>
    </w:p>
    <w:p>
      <w:pPr>
        <w:pStyle w:val="Normal"/>
        <w:spacing w:before="0" w:after="240"/>
        <w:ind w:firstLine="1440" w:end="0"/>
        <w:jc w:val="both"/>
        <w:rPr>
          <w:sz w:val="22"/>
          <w:szCs w:val="22"/>
        </w:rPr>
      </w:pPr>
      <w:r>
        <w:rPr>
          <w:sz w:val="22"/>
          <w:szCs w:val="22"/>
        </w:rPr>
        <w:t>Based upon the foregoing, we are of the opinion that:</w:t>
      </w:r>
    </w:p>
    <w:p>
      <w:pPr>
        <w:pStyle w:val="Normal"/>
        <w:spacing w:before="0" w:after="240"/>
        <w:ind w:firstLine="1440" w:end="0"/>
        <w:jc w:val="both"/>
        <w:rPr>
          <w:sz w:val="22"/>
          <w:szCs w:val="22"/>
        </w:rPr>
      </w:pPr>
      <w:r>
        <w:rPr>
          <w:sz w:val="22"/>
          <w:szCs w:val="22"/>
        </w:rPr>
        <w:t>1.</w:t>
        <w:tab/>
        <w:t>Guarantor is duly organized, validly existing, and in good standing under the constitution and laws of Quebec, Canada.</w:t>
      </w:r>
    </w:p>
    <w:p>
      <w:pPr>
        <w:pStyle w:val="Normal"/>
        <w:spacing w:before="0" w:after="240"/>
        <w:ind w:firstLine="1440" w:end="0"/>
        <w:jc w:val="both"/>
        <w:rPr>
          <w:sz w:val="22"/>
          <w:szCs w:val="22"/>
        </w:rPr>
      </w:pPr>
      <w:r>
        <w:rPr>
          <w:sz w:val="22"/>
          <w:szCs w:val="22"/>
        </w:rPr>
        <w:t>2.</w:t>
        <w:tab/>
        <w:t>Guarantor has the legal right and power, pursuant to the Hydro-Quebec Act L.R.Q., c. H-5 (the “Act”), to execute the Guaranty and any other documentation relating to the Guaranty to which it is a party, to deliver the Guaranty and any other documentation relating to the Guaranty that it is required by the Swap Agreement to deliver, and to perform its obligations under the Guaranty and any other documentation relating thereto to which it is a party.  All necessary action and all necessary determinations and findings to authorize Guarantor’s execution, delivery, and performance of the Guaranty, and any other documentation relating to the Guaranty to which it is a party or that it is required by the Swap Agreement to deliver, have been taken and made.  The individual(s) executing and delivering on behalf of Guarantor the Guaranty, and any other documentation relating thereto that it is required to deliver, are duly empowered and authorized to do so.  Guarantor has duly authorized, executed, and delivered the Guaranty, and any other documentation relating to the Guaranty to which it is a party or that it is required under the Swap Agreement to deliver.</w:t>
      </w:r>
    </w:p>
    <w:p>
      <w:pPr>
        <w:pStyle w:val="Normal"/>
        <w:spacing w:before="0" w:after="240"/>
        <w:ind w:firstLine="1440" w:end="0"/>
        <w:jc w:val="both"/>
        <w:rPr>
          <w:sz w:val="22"/>
          <w:szCs w:val="22"/>
        </w:rPr>
      </w:pPr>
      <w:r>
        <w:rPr>
          <w:sz w:val="22"/>
          <w:szCs w:val="22"/>
        </w:rPr>
        <w:t>3.</w:t>
        <w:tab/>
        <w:t>Such execution, delivery, and performance do not violate, conflict with, or constitute a breach or default under, any law applicable to Guarantor, any provision of its constitutional documents, any order or judgment of any court or agency of government applicable to it or any of its assets, or any contractual restriction binding on or affecting it or any of its assets.  Guarantor is not in violation or breach of, or default under, any law applicable to Guarantor, any provision of its constitutional documents, or any order or judgment of any court or agency of government applicable to it or any of its assets, which could adversely affect (i) the Guaranty or any other documentation relating to the Guaranty to which it is a party or that it is required by the Swap Agreement to deliver, (ii) the legality, validity, binding effect, or enforceability thereof, (iii) the ability of it to perform its obligations thereunder, or (iv) its financial condition or operations.</w:t>
      </w:r>
    </w:p>
    <w:p>
      <w:pPr>
        <w:pStyle w:val="Normal"/>
        <w:spacing w:before="0" w:after="240"/>
        <w:ind w:firstLine="1440" w:end="0"/>
        <w:jc w:val="both"/>
        <w:rPr>
          <w:sz w:val="22"/>
          <w:szCs w:val="22"/>
        </w:rPr>
      </w:pPr>
      <w:r>
        <w:rPr>
          <w:sz w:val="22"/>
          <w:szCs w:val="22"/>
        </w:rPr>
        <w:t>4.</w:t>
        <w:tab/>
        <w:t>All governmental and other consents, approvals, registrations, licenses, or exemptions that are required to have been obtained by Guarantor with respect to the Guaranty, or any other documentation relating to the Guaranty to which it is a party or that it is required by the Swap Agreement to deliver, have been obtained and are in full force and effect, and all conditions thereof have been complied with.</w:t>
      </w:r>
    </w:p>
    <w:p>
      <w:pPr>
        <w:pStyle w:val="Normal"/>
        <w:spacing w:before="0" w:after="240"/>
        <w:ind w:firstLine="1440" w:end="0"/>
        <w:jc w:val="both"/>
        <w:rPr>
          <w:sz w:val="22"/>
          <w:szCs w:val="22"/>
        </w:rPr>
      </w:pPr>
      <w:r>
        <w:rPr>
          <w:sz w:val="22"/>
          <w:szCs w:val="22"/>
        </w:rPr>
        <w:t>5.</w:t>
        <w:tab/>
        <w:t>The obligations of Guarantor under the Guaranty, and any other documentation relating to the Guaranty to which it is a party, constitute its legal, valid, and binding obligations, enforceable against Guarantor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p>
    <w:p>
      <w:pPr>
        <w:pStyle w:val="Normal"/>
        <w:spacing w:before="0" w:after="240"/>
        <w:ind w:firstLine="1440" w:end="0"/>
        <w:jc w:val="both"/>
        <w:rPr>
          <w:sz w:val="22"/>
          <w:szCs w:val="22"/>
        </w:rPr>
      </w:pPr>
      <w:r>
        <w:rPr>
          <w:sz w:val="22"/>
          <w:szCs w:val="22"/>
        </w:rPr>
        <w:t>6.</w:t>
        <w:tab/>
        <w:t>There is not pending or, to our knowledge, threatened against Guarantor (nor to our knowledge is there any basis for), any action, suit, claim, inquiry, investigation, or proceeding at law or in equity or before any court, tribunal, governmental body, agency, official, or arbitrator that is likely to affect the legality, validity, or enforceability against Guarantor of the Guaranty, or any other documentation relating to the Guaranty to which it is a party, or Guarantor’s ability to perform its obligations under the Guaranty or any other documentation relating to the Guaranty to which it is a party.</w:t>
      </w:r>
    </w:p>
    <w:p>
      <w:pPr>
        <w:pStyle w:val="Normal"/>
        <w:spacing w:before="0" w:after="240"/>
        <w:ind w:firstLine="1440" w:end="0"/>
        <w:jc w:val="both"/>
        <w:rPr>
          <w:sz w:val="22"/>
          <w:szCs w:val="22"/>
        </w:rPr>
      </w:pPr>
      <w:r>
        <w:rPr>
          <w:sz w:val="22"/>
          <w:szCs w:val="22"/>
        </w:rPr>
        <w:t>7.</w:t>
        <w:tab/>
        <w:t>Guarantor is not entitled to claim immunity on the grounds of sovereignty or other similar grounds with respect to itself or its revenues or assets (irrespective of their use or intended use) from (i) suit, (ii) jurisdiction of any court, (iii) attachment of its assets (whether before or after judgment), (iv) execution or enforcement of any judgment to which it or its revenues or assets might otherwise be made subject in any suit, action, or proceedings relating to the Swap Agreement in the courts of any jurisdiction, and no such immunity (whether or not claimed) may be attributed to Guarantor or its revenues or assets, or (v) except as provided in Section 17 of the Act concerning extraordinary recourse and injunctive relief, relief by way of injunction, order for specific performance, or for recovery of property.</w:t>
      </w:r>
    </w:p>
    <w:p>
      <w:pPr>
        <w:pStyle w:val="Normal"/>
        <w:spacing w:before="0" w:after="240"/>
        <w:ind w:firstLine="1440" w:end="0"/>
        <w:jc w:val="both"/>
        <w:rPr>
          <w:sz w:val="22"/>
          <w:szCs w:val="22"/>
        </w:rPr>
      </w:pPr>
      <w:r>
        <w:rPr>
          <w:sz w:val="22"/>
          <w:szCs w:val="22"/>
        </w:rPr>
        <w:t>8.</w:t>
        <w:tab/>
        <w:t>The Guaranty does not constitute any kind of investment by Guarantor that is proscribed by any constitution, charter, law, rule, regulation, investment guideline or restriction, policy, government code, constituent or governing instrument, resolution, ordinance, order, writ, judgment, decree, or ruling to which Guarantor (or any of its officials in such respective capacity) or the property or revenues of it is subject.</w:t>
      </w:r>
    </w:p>
    <w:p>
      <w:pPr>
        <w:pStyle w:val="Normal"/>
        <w:spacing w:before="0" w:after="240"/>
        <w:ind w:firstLine="1440" w:end="0"/>
        <w:jc w:val="both"/>
        <w:rPr>
          <w:sz w:val="22"/>
          <w:szCs w:val="22"/>
        </w:rPr>
      </w:pPr>
      <w:r>
        <w:rPr>
          <w:sz w:val="22"/>
          <w:szCs w:val="22"/>
        </w:rPr>
        <w:t>9.</w:t>
        <w:tab/>
        <w:t>No person, firm, corporation, entity, or association other than Guarantor may liquidate, borrow, encumber, or otherwise utilize the assets of Guarantor, except as allowed under Section 15.1 of the Act.</w:t>
      </w:r>
    </w:p>
    <w:p>
      <w:pPr>
        <w:pStyle w:val="Normal"/>
        <w:spacing w:before="0" w:after="240"/>
        <w:ind w:firstLine="1440" w:end="0"/>
        <w:jc w:val="both"/>
        <w:rPr>
          <w:sz w:val="22"/>
          <w:szCs w:val="22"/>
        </w:rPr>
      </w:pPr>
      <w:r>
        <w:rPr>
          <w:sz w:val="22"/>
          <w:szCs w:val="22"/>
        </w:rPr>
        <w:t>10.</w:t>
        <w:tab/>
        <w:t xml:space="preserve">The execution and delivery by Guarantor of the Guaranty, any other documentation relating to the Guaranty to which it is a party, and the performance by Guarantor of its obligations thereunder, are in furtherance, and not in violation, of the public purposes for which Guarantor was created and organized under the Act and pursuant to the laws of the Relevant Jurisdiction.  </w:t>
      </w:r>
    </w:p>
    <w:p>
      <w:pPr>
        <w:pStyle w:val="Normal"/>
        <w:spacing w:before="0" w:after="240"/>
        <w:ind w:firstLine="1440" w:end="0"/>
        <w:jc w:val="both"/>
        <w:rPr>
          <w:sz w:val="22"/>
          <w:szCs w:val="22"/>
        </w:rPr>
      </w:pPr>
      <w:r>
        <w:rPr>
          <w:sz w:val="22"/>
          <w:szCs w:val="22"/>
        </w:rPr>
        <w:t>11.</w:t>
        <w:tab/>
        <w:t>The obligations of Guarantor to make payments to Enron under the Guaranty, particularly, without limitation, with respect to the obligations under confirmations which may be entered into pursuant to the Swap Agreement, (i) are not subject to appropriation or similar action, and (ii) do not (A) constitute any kind of indebtedness of Guarantor or (B) create any kind of lien on or security interest in any property or revenues of Guarantor which, in either case (A) or (B), is proscribed by any constitution, charter, law, rule, regulation, investment guideline or restriction, policy, government code, constituent or governing instrument, resolution, ordinance, order, writ, judgment, decree, or ruling to which Guarantor (or any of its officials in such capacity) or its property or revenues is subject.</w:t>
      </w:r>
    </w:p>
    <w:p>
      <w:pPr>
        <w:pStyle w:val="Normal"/>
        <w:spacing w:before="0" w:after="240"/>
        <w:ind w:firstLine="1440" w:end="0"/>
        <w:jc w:val="both"/>
        <w:rPr>
          <w:sz w:val="22"/>
          <w:szCs w:val="22"/>
        </w:rPr>
      </w:pPr>
      <w:r>
        <w:rPr>
          <w:sz w:val="22"/>
          <w:szCs w:val="22"/>
        </w:rPr>
        <w:t>12.</w:t>
        <w:tab/>
        <w:t>The execution and delivery of the Guaranty, or any of the documentation relating to the Guaranty,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sz w:val="22"/>
          <w:szCs w:val="22"/>
        </w:rPr>
      </w:pPr>
      <w:r>
        <w:rPr>
          <w:sz w:val="22"/>
          <w:szCs w:val="22"/>
        </w:rPr>
        <w:t>13.</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Swap Agreement, or any other documentation relating to the Swap Agreement to which Enron is a party or that it is required to deliver, except as required under applicable law in respect of providing security for any costs of suit or other proceedings if brought in the Relevant Jurisdiction.</w:t>
      </w:r>
    </w:p>
    <w:p>
      <w:pPr>
        <w:pStyle w:val="Normal"/>
        <w:spacing w:before="0" w:after="240"/>
        <w:ind w:firstLine="1440" w:end="0"/>
        <w:jc w:val="both"/>
        <w:rPr>
          <w:sz w:val="22"/>
          <w:szCs w:val="22"/>
        </w:rPr>
      </w:pPr>
      <w:r>
        <w:rPr>
          <w:sz w:val="22"/>
          <w:szCs w:val="22"/>
        </w:rPr>
      </w:r>
    </w:p>
    <w:p>
      <w:pPr>
        <w:pStyle w:val="Normal"/>
        <w:spacing w:before="0" w:after="240"/>
        <w:ind w:firstLine="1440" w:end="0"/>
        <w:jc w:val="both"/>
        <w:rPr>
          <w:sz w:val="22"/>
          <w:szCs w:val="22"/>
        </w:rPr>
      </w:pPr>
      <w:r>
        <w:rPr>
          <w:sz w:val="22"/>
          <w:szCs w:val="22"/>
        </w:rPr>
        <w:t>[State any qualifications]</w:t>
      </w:r>
    </w:p>
    <w:p>
      <w:pPr>
        <w:pStyle w:val="Normal"/>
        <w:spacing w:before="0" w:after="240"/>
        <w:ind w:firstLine="1440" w:end="0"/>
        <w:jc w:val="both"/>
        <w:rPr>
          <w:sz w:val="22"/>
          <w:szCs w:val="22"/>
        </w:rPr>
      </w:pPr>
      <w:r>
        <w:rPr>
          <w:sz w:val="22"/>
          <w:szCs w:val="22"/>
        </w:rPr>
      </w:r>
    </w:p>
    <w:p>
      <w:pPr>
        <w:pStyle w:val="Normal"/>
        <w:spacing w:before="0" w:after="240"/>
        <w:ind w:start="4320" w:end="0"/>
        <w:rPr>
          <w:sz w:val="22"/>
          <w:szCs w:val="22"/>
        </w:rPr>
      </w:pPr>
      <w:r>
        <w:rPr>
          <w:sz w:val="22"/>
          <w:szCs w:val="22"/>
        </w:rPr>
        <w:t>Very truly yours,</w:t>
      </w:r>
    </w:p>
    <w:p>
      <w:pPr>
        <w:pStyle w:val="Normal"/>
        <w:rPr>
          <w:sz w:val="22"/>
          <w:szCs w:val="22"/>
        </w:rPr>
      </w:pPr>
      <w:r>
        <w:rPr>
          <w:sz w:val="22"/>
          <w:szCs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/mnt/main-storage/datasets/enron-docs/doc/HQopinion.doc</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2000-09-13T15:55:00Z</dcterms:created>
  <dc:creator>mcook</dc:creator>
  <dc:description/>
  <dc:language>en-CA</dc:language>
  <cp:lastModifiedBy>mcook</cp:lastModifiedBy>
  <cp:lastPrinted>2000-10-17T08:31:00Z</cp:lastPrinted>
  <dcterms:modified xsi:type="dcterms:W3CDTF">2000-10-17T11:02:00Z</dcterms:modified>
  <cp:revision>17</cp:revision>
  <dc:subject/>
  <dc:title> ATTACHMENT 1</dc:title>
</cp:coreProperties>
</file>