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b/>
          <w:bCs/>
          <w:color w:val="000000"/>
          <w:sz w:val="22"/>
          <w:szCs w:val="22"/>
        </w:rPr>
      </w:pPr>
      <w:r>
        <w:rPr>
          <w:b/>
          <w:bCs/>
          <w:color w:val="000000"/>
          <w:sz w:val="22"/>
          <w:szCs w:val="22"/>
        </w:rPr>
        <w:t>ENRON CORP.</w:t>
      </w:r>
    </w:p>
    <w:p>
      <w:pPr>
        <w:pStyle w:val="Normal"/>
        <w:spacing w:lineRule="exact" w:line="240"/>
        <w:ind w:end="180"/>
        <w:jc w:val="center"/>
        <w:rPr>
          <w:b/>
          <w:bCs/>
          <w:color w:val="000000"/>
          <w:sz w:val="22"/>
          <w:szCs w:val="22"/>
          <w:u w:val="single"/>
        </w:rPr>
      </w:pPr>
      <w:r>
        <w:rPr>
          <w:b/>
          <w:bCs/>
          <w:color w:val="000000"/>
          <w:sz w:val="22"/>
          <w:szCs w:val="22"/>
          <w:u w:val="single"/>
        </w:rPr>
      </w:r>
    </w:p>
    <w:p>
      <w:pPr>
        <w:pStyle w:val="Normal"/>
        <w:spacing w:lineRule="exact" w:line="240"/>
        <w:ind w:end="180"/>
        <w:jc w:val="center"/>
        <w:rPr>
          <w:color w:val="000000"/>
          <w:sz w:val="22"/>
          <w:szCs w:val="22"/>
        </w:rPr>
      </w:pPr>
      <w:r>
        <w:rPr>
          <w:color w:val="000000"/>
          <w:sz w:val="22"/>
          <w:szCs w:val="22"/>
          <w:u w:val="single"/>
        </w:rPr>
        <w:t>Guaranty</w:t>
      </w:r>
    </w:p>
    <w:p>
      <w:pPr>
        <w:pStyle w:val="Normal"/>
        <w:spacing w:lineRule="exact" w:line="480"/>
        <w:jc w:val="both"/>
        <w:rPr>
          <w:color w:val="000000"/>
          <w:sz w:val="22"/>
          <w:szCs w:val="22"/>
        </w:rPr>
      </w:pPr>
      <w:r>
        <w:rPr>
          <w:color w:val="000000"/>
          <w:sz w:val="22"/>
          <w:szCs w:val="22"/>
        </w:rPr>
      </w:r>
    </w:p>
    <w:p>
      <w:pPr>
        <w:pStyle w:val="Normal"/>
        <w:spacing w:lineRule="atLeast" w:line="240"/>
        <w:ind w:firstLine="720" w:end="0"/>
        <w:jc w:val="both"/>
        <w:rPr/>
      </w:pPr>
      <w:r>
        <w:rPr>
          <w:color w:val="000000"/>
          <w:sz w:val="22"/>
          <w:szCs w:val="22"/>
        </w:rPr>
        <w:t xml:space="preserve">This Guaranty (this “Guaranty”), effective as of September 1, 2000, is made and entered into by </w:t>
      </w:r>
      <w:r>
        <w:rPr>
          <w:caps/>
          <w:color w:val="000000"/>
          <w:sz w:val="22"/>
          <w:szCs w:val="22"/>
        </w:rPr>
        <w:t>Enron Corp.</w:t>
      </w:r>
      <w:r>
        <w:rPr>
          <w:color w:val="000000"/>
          <w:sz w:val="22"/>
          <w:szCs w:val="22"/>
        </w:rPr>
        <w:t>, a corporation created under the laws of the State of Oregon, USA, having its head office and principal place of business at 1400 Smith Street, Houston, Texas 77002, United States of America (“Guarantor”), in favor of HQ ENERGY SERVICES (U.S.) INC., a corporation created under the laws of the State of Delaware, USA, having its place of business at Airport Office Park Building Five, 345 Rouser Road, Coraopolis PA 15108, United States of America (“Counterparty”).</w:t>
      </w:r>
    </w:p>
    <w:p>
      <w:pPr>
        <w:pStyle w:val="Normal"/>
        <w:keepNext w:val="true"/>
        <w:spacing w:lineRule="exact" w:line="240" w:before="480" w:after="0"/>
        <w:jc w:val="center"/>
        <w:rPr>
          <w:b/>
          <w:bCs/>
          <w:caps/>
          <w:color w:val="000000"/>
          <w:sz w:val="22"/>
          <w:szCs w:val="22"/>
        </w:rPr>
      </w:pPr>
      <w:r>
        <w:rPr>
          <w:b/>
          <w:bCs/>
          <w:caps/>
          <w:color w:val="000000"/>
          <w:sz w:val="22"/>
          <w:szCs w:val="22"/>
        </w:rPr>
        <w:t>W I T N E S S E T H:</w:t>
      </w:r>
    </w:p>
    <w:p>
      <w:pPr>
        <w:pStyle w:val="Normal"/>
        <w:spacing w:lineRule="atLeast" w:line="240"/>
        <w:jc w:val="both"/>
        <w:rPr>
          <w:b/>
          <w:bCs/>
          <w:caps/>
          <w:color w:val="000000"/>
          <w:sz w:val="22"/>
          <w:szCs w:val="22"/>
        </w:rPr>
      </w:pPr>
      <w:r>
        <w:rPr>
          <w:b/>
          <w:bCs/>
          <w:caps/>
          <w:color w:val="000000"/>
          <w:sz w:val="22"/>
          <w:szCs w:val="22"/>
        </w:rPr>
      </w:r>
    </w:p>
    <w:p>
      <w:pPr>
        <w:pStyle w:val="Normal"/>
        <w:spacing w:lineRule="atLeast" w:line="240"/>
        <w:ind w:firstLine="720" w:end="0"/>
        <w:jc w:val="both"/>
        <w:rPr>
          <w:color w:val="000000"/>
          <w:sz w:val="22"/>
          <w:szCs w:val="22"/>
        </w:rPr>
      </w:pPr>
      <w:r>
        <w:rPr>
          <w:color w:val="000000"/>
          <w:sz w:val="22"/>
          <w:szCs w:val="22"/>
        </w:rPr>
        <w:t xml:space="preserve">WHEREAS, Counterparty and ENRON NORTH AMERICA CORP. (“Enron”), a corporation created under the laws of the State of Delaware, USA, having its head office and principal place of business at 1400 Smith Street, Houston, Texas 77002, United States of America, and a directly owned subsidiary of Guarantor, have entered into that certain Master Agreement dated September 1, 2000 (the “Master Agreement”), and have entered into, and are contemplating entering into, one or more swap, option or other financially-settled derivative transactions, which transactions will be evidenced by one or more swap agreements or confirmations subject to the Master Agreement (all such swap, option or other financially-settled derivative transactions and the agreements evidencing same, including, without limitation, the Master Agreement, as the same may from time to time be modified, amended and supplemented, shall be referred to herein collectively as the “Agreements”); </w:t>
      </w:r>
    </w:p>
    <w:p>
      <w:pPr>
        <w:pStyle w:val="Normal"/>
        <w:spacing w:lineRule="atLeast" w:line="240"/>
        <w:ind w:firstLine="720" w:end="0"/>
        <w:jc w:val="both"/>
        <w:rPr>
          <w:color w:val="000000"/>
          <w:sz w:val="22"/>
          <w:szCs w:val="22"/>
        </w:rPr>
      </w:pPr>
      <w:r>
        <w:rPr>
          <w:color w:val="000000"/>
          <w:sz w:val="22"/>
          <w:szCs w:val="22"/>
        </w:rPr>
      </w:r>
    </w:p>
    <w:p>
      <w:pPr>
        <w:pStyle w:val="Normal"/>
        <w:spacing w:lineRule="atLeast" w:line="240"/>
        <w:ind w:firstLine="720" w:end="0"/>
        <w:jc w:val="both"/>
        <w:rPr>
          <w:color w:val="000000"/>
          <w:sz w:val="22"/>
          <w:szCs w:val="22"/>
        </w:rPr>
      </w:pPr>
      <w:r>
        <w:rPr>
          <w:color w:val="000000"/>
          <w:sz w:val="22"/>
          <w:szCs w:val="22"/>
        </w:rPr>
        <w:t>WHEREAS, Guarantor will directly or indirectly benefit from the Agreements; and</w:t>
      </w:r>
    </w:p>
    <w:p>
      <w:pPr>
        <w:pStyle w:val="Normal"/>
        <w:spacing w:lineRule="atLeast" w:line="240"/>
        <w:ind w:firstLine="720" w:end="0"/>
        <w:jc w:val="both"/>
        <w:rPr>
          <w:color w:val="000000"/>
          <w:sz w:val="22"/>
          <w:szCs w:val="22"/>
        </w:rPr>
      </w:pPr>
      <w:r>
        <w:rPr>
          <w:color w:val="000000"/>
          <w:sz w:val="22"/>
          <w:szCs w:val="22"/>
        </w:rPr>
      </w:r>
    </w:p>
    <w:p>
      <w:pPr>
        <w:pStyle w:val="Normal"/>
        <w:spacing w:lineRule="atLeast" w:line="240"/>
        <w:ind w:firstLine="720" w:end="0"/>
        <w:jc w:val="both"/>
        <w:rPr>
          <w:color w:val="000000"/>
          <w:sz w:val="22"/>
          <w:szCs w:val="22"/>
        </w:rPr>
      </w:pPr>
      <w:r>
        <w:rPr>
          <w:color w:val="000000"/>
          <w:sz w:val="22"/>
          <w:szCs w:val="22"/>
        </w:rPr>
        <w:t>WHEREAS, Counterparty has required that Guarantor unconditionally guarantee to Counterparty all payment obligations of Enron under the Agreements, subject to a maximum dollar limitation as provided in Section 1 of this Guaranty.</w:t>
      </w:r>
    </w:p>
    <w:p>
      <w:pPr>
        <w:pStyle w:val="Normal"/>
        <w:spacing w:lineRule="atLeast" w:line="240"/>
        <w:ind w:firstLine="720" w:end="0"/>
        <w:jc w:val="both"/>
        <w:rPr>
          <w:color w:val="000000"/>
          <w:sz w:val="22"/>
          <w:szCs w:val="22"/>
        </w:rPr>
      </w:pPr>
      <w:r>
        <w:rPr>
          <w:color w:val="000000"/>
          <w:sz w:val="22"/>
          <w:szCs w:val="22"/>
        </w:rPr>
      </w:r>
    </w:p>
    <w:p>
      <w:pPr>
        <w:pStyle w:val="Normal"/>
        <w:spacing w:lineRule="atLeast" w:line="240"/>
        <w:ind w:firstLine="720" w:end="0"/>
        <w:jc w:val="both"/>
        <w:rPr>
          <w:color w:val="000000"/>
          <w:sz w:val="22"/>
          <w:szCs w:val="22"/>
        </w:rPr>
      </w:pPr>
      <w:r>
        <w:rPr>
          <w:color w:val="000000"/>
          <w:sz w:val="22"/>
          <w:szCs w:val="22"/>
        </w:rPr>
        <w:t>NOW THEREFORE, in consideration of the premises, Guarantor hereby covenants and agrees with Counterparty as follows:</w:t>
      </w:r>
    </w:p>
    <w:p>
      <w:pPr>
        <w:pStyle w:val="Normal"/>
        <w:spacing w:lineRule="atLeast" w:line="240"/>
        <w:ind w:firstLine="720" w:end="0"/>
        <w:jc w:val="both"/>
        <w:rPr>
          <w:color w:val="000000"/>
          <w:sz w:val="22"/>
          <w:szCs w:val="22"/>
        </w:rPr>
      </w:pPr>
      <w:r>
        <w:rPr>
          <w:color w:val="000000"/>
          <w:sz w:val="22"/>
          <w:szCs w:val="22"/>
        </w:rPr>
      </w:r>
    </w:p>
    <w:p>
      <w:pPr>
        <w:pStyle w:val="Normal"/>
        <w:spacing w:lineRule="atLeast" w:line="240"/>
        <w:ind w:firstLine="720" w:end="0"/>
        <w:jc w:val="both"/>
        <w:rPr/>
      </w:pPr>
      <w:r>
        <w:rPr>
          <w:b/>
          <w:bCs/>
          <w:color w:val="000000"/>
          <w:sz w:val="22"/>
          <w:szCs w:val="22"/>
        </w:rPr>
        <w:t xml:space="preserve">Section 1.  </w:t>
      </w:r>
      <w:r>
        <w:rPr>
          <w:b/>
          <w:bCs/>
          <w:color w:val="000000"/>
          <w:sz w:val="22"/>
          <w:szCs w:val="22"/>
          <w:u w:val="single"/>
        </w:rPr>
        <w:t>Payment Guarantee</w:t>
      </w:r>
      <w:r>
        <w:rPr>
          <w:color w:val="000000"/>
          <w:sz w:val="22"/>
          <w:szCs w:val="22"/>
        </w:rPr>
        <w:t>.  Subject to the provisions hereof, Guarantor absolutely, irrevocably, and unconditionally guarantees to Counterparty the prompt payment when due of all present and future amounts owed by Enron to Counterparty in accordance with the Agreements (the “Obligations”) upon a written demand (a “Payment Demand”) by Counterparty stating that Enron has failed to fulfill its obligations and liabilities resulting from the Agreements, that the amount claimed is due to Counterparty, and that Counterparty is calling upon Guarantor to pay under this Guaranty.  The Payment Demand shall be deemed sufficient notice to Guarantor that it must pay the Obligations within five (5) Business Days (as defined in the Agreements) after its receipt of the Payment Demand.  A Payment Demand satisfying the foregoing requirements shall be required with respect to Obligations before Guarantor is required to pay such Obligations hereunder.  This Guaranty shall constitute a guarantee of payment and not of collection.  The liability of Guarantor under the Guaranty shall be subject to the following:</w:t>
      </w:r>
    </w:p>
    <w:p>
      <w:pPr>
        <w:pStyle w:val="BodyTextIndent3"/>
        <w:widowControl w:val="false"/>
        <w:spacing w:lineRule="exact" w:line="240" w:before="240" w:after="0"/>
        <w:jc w:val="both"/>
        <w:rPr/>
      </w:pPr>
      <w:r>
        <w:rPr/>
        <w:t>(a)  Guarantor’s liability hereunder shall be and is specifically limited to payments expressly required to be made under the Agreements (even if such payments are deemed to be damages) and, except to the extent specifically provided in the Agreements, in no event shall Guarantor be subject hereunder to consequential, exemplary, equitable, loss of profits, punitive, tort, or any other damages, costs, or attorney’s fees.</w:t>
      </w:r>
    </w:p>
    <w:p>
      <w:pPr>
        <w:pStyle w:val="BodyTextIndent3"/>
        <w:spacing w:lineRule="exact" w:line="240" w:before="240" w:after="0"/>
        <w:rPr/>
      </w:pPr>
      <w:r>
        <w:rPr/>
        <w:t>(b)  The aggregate amount covered by this Guaranty shall not exceed U.S. $25,000,000.</w:t>
      </w:r>
    </w:p>
    <w:p>
      <w:pPr>
        <w:pStyle w:val="Normal"/>
        <w:spacing w:lineRule="atLeast" w:line="240"/>
        <w:jc w:val="both"/>
        <w:rPr>
          <w:color w:val="000000"/>
          <w:sz w:val="22"/>
          <w:szCs w:val="22"/>
        </w:rPr>
      </w:pPr>
      <w:r>
        <w:rPr>
          <w:color w:val="000000"/>
          <w:sz w:val="22"/>
          <w:szCs w:val="22"/>
        </w:rPr>
      </w:r>
    </w:p>
    <w:p>
      <w:pPr>
        <w:pStyle w:val="Normal"/>
        <w:spacing w:lineRule="atLeast" w:line="240"/>
        <w:jc w:val="both"/>
        <w:rPr>
          <w:color w:val="000000"/>
          <w:sz w:val="22"/>
          <w:szCs w:val="22"/>
        </w:rPr>
      </w:pPr>
      <w:r>
        <w:rPr>
          <w:color w:val="000000"/>
          <w:sz w:val="22"/>
          <w:szCs w:val="22"/>
        </w:rPr>
        <w:t>At Guarantor’s request, Counterparty shall provide Guarantor with information respecting the content and the terms and conditions of the obligations and liabilities of Enron with regard to the Agreements and a statement of account with details of billings and payments.</w:t>
      </w:r>
    </w:p>
    <w:p>
      <w:pPr>
        <w:pStyle w:val="Normal"/>
        <w:spacing w:lineRule="atLeast" w:line="240"/>
        <w:jc w:val="both"/>
        <w:rPr>
          <w:color w:val="000000"/>
          <w:sz w:val="22"/>
          <w:szCs w:val="22"/>
        </w:rPr>
      </w:pPr>
      <w:r>
        <w:rPr>
          <w:color w:val="000000"/>
          <w:sz w:val="22"/>
          <w:szCs w:val="22"/>
        </w:rPr>
      </w:r>
    </w:p>
    <w:p>
      <w:pPr>
        <w:pStyle w:val="Normal"/>
        <w:spacing w:lineRule="atLeast" w:line="240"/>
        <w:jc w:val="both"/>
        <w:rPr/>
      </w:pPr>
      <w:r>
        <w:rPr>
          <w:color w:val="000000"/>
          <w:sz w:val="22"/>
          <w:szCs w:val="22"/>
        </w:rPr>
        <w:tab/>
      </w:r>
      <w:r>
        <w:rPr>
          <w:b/>
          <w:bCs/>
          <w:color w:val="000000"/>
          <w:sz w:val="22"/>
          <w:szCs w:val="22"/>
        </w:rPr>
        <w:t xml:space="preserve">Section 2.  </w:t>
      </w:r>
      <w:r>
        <w:rPr>
          <w:b/>
          <w:bCs/>
          <w:color w:val="000000"/>
          <w:sz w:val="22"/>
          <w:szCs w:val="22"/>
          <w:u w:val="single"/>
        </w:rPr>
        <w:t>Nature of Guarantee</w:t>
      </w:r>
      <w:r>
        <w:rPr>
          <w:color w:val="000000"/>
          <w:sz w:val="22"/>
          <w:szCs w:val="22"/>
        </w:rPr>
        <w:t>.  Guarantor’s obligations hereunder shall  be subject to all contractual protections, limitations, waivers, exclusions, and rights which Enron has under the Agreements, and Guarantor shall be entitled to the benefits of any modification of, amendment to, waiver of, or consent to departure from, the Agreements to the extent, if any, Enron would have been entitled to such benefits.  Nonetheless, this Guaranty shall not be deemed discharged, impaired, or affected by the existence, validity, enforceability, perfection, or extent of any collateral for any obligations of Enron under the Agreements.</w:t>
      </w:r>
    </w:p>
    <w:p>
      <w:pPr>
        <w:pStyle w:val="Normal"/>
        <w:spacing w:lineRule="atLeast" w:line="240"/>
        <w:jc w:val="both"/>
        <w:rPr>
          <w:color w:val="000000"/>
          <w:sz w:val="22"/>
          <w:szCs w:val="22"/>
        </w:rPr>
      </w:pPr>
      <w:r>
        <w:rPr>
          <w:color w:val="000000"/>
          <w:sz w:val="22"/>
          <w:szCs w:val="22"/>
        </w:rPr>
      </w:r>
    </w:p>
    <w:p>
      <w:pPr>
        <w:pStyle w:val="Normal"/>
        <w:spacing w:lineRule="atLeast" w:line="240"/>
        <w:jc w:val="both"/>
        <w:rPr/>
      </w:pPr>
      <w:r>
        <w:rPr>
          <w:color w:val="000000"/>
          <w:sz w:val="22"/>
          <w:szCs w:val="22"/>
        </w:rPr>
        <w:tab/>
      </w:r>
      <w:r>
        <w:rPr>
          <w:b/>
          <w:bCs/>
          <w:color w:val="000000"/>
          <w:sz w:val="22"/>
          <w:szCs w:val="22"/>
        </w:rPr>
        <w:t xml:space="preserve">Section 3.  </w:t>
      </w:r>
      <w:r>
        <w:rPr>
          <w:b/>
          <w:bCs/>
          <w:color w:val="000000"/>
          <w:sz w:val="22"/>
          <w:szCs w:val="22"/>
          <w:u w:val="single"/>
        </w:rPr>
        <w:t>Consents, Waivers, and Renewals</w:t>
      </w:r>
      <w:r>
        <w:rPr>
          <w:color w:val="000000"/>
          <w:sz w:val="22"/>
          <w:szCs w:val="22"/>
        </w:rPr>
        <w:t>.  Guarantor agrees that Counterparty may at any time and from time to time, either before or after maturity thereof, without notice to or further consent of Guarantor, extend the time of payment of any of the Obligations, exchange or surrender any collateral therefor, or renew the Agreements, and may also make any agreement with Enron with respect to the Obligations for the extension, renewal, payment, compromise, discharge, or release thereof, in whole or in part, or for any modification of the terms of the Agreements without impairing this Guaranty.  Guarantor agrees that Counterparty may resort to Guarantor for payment of the Obligations, whether or not Counterparty shall have resorted to any collateral security, or shall have proceeded against any other obligor principally or secondarily obligated with respect to any of the Obligations.</w:t>
      </w:r>
    </w:p>
    <w:p>
      <w:pPr>
        <w:pStyle w:val="Normal"/>
        <w:spacing w:lineRule="atLeast" w:line="240"/>
        <w:jc w:val="both"/>
        <w:rPr>
          <w:color w:val="000000"/>
          <w:sz w:val="22"/>
          <w:szCs w:val="22"/>
        </w:rPr>
      </w:pPr>
      <w:r>
        <w:rPr>
          <w:color w:val="000000"/>
          <w:sz w:val="22"/>
          <w:szCs w:val="22"/>
        </w:rPr>
      </w:r>
    </w:p>
    <w:p>
      <w:pPr>
        <w:pStyle w:val="Normal"/>
        <w:spacing w:lineRule="atLeast" w:line="240"/>
        <w:jc w:val="both"/>
        <w:rPr/>
      </w:pPr>
      <w:r>
        <w:rPr>
          <w:color w:val="000000"/>
          <w:sz w:val="22"/>
          <w:szCs w:val="22"/>
        </w:rPr>
        <w:tab/>
      </w:r>
      <w:r>
        <w:rPr>
          <w:b/>
          <w:bCs/>
          <w:color w:val="000000"/>
          <w:sz w:val="22"/>
          <w:szCs w:val="22"/>
        </w:rPr>
        <w:t xml:space="preserve">Section 4.  </w:t>
      </w:r>
      <w:r>
        <w:rPr>
          <w:b/>
          <w:bCs/>
          <w:color w:val="000000"/>
          <w:sz w:val="22"/>
          <w:szCs w:val="22"/>
          <w:u w:val="single"/>
        </w:rPr>
        <w:t>Subrogation</w:t>
      </w:r>
      <w:r>
        <w:rPr>
          <w:color w:val="000000"/>
          <w:sz w:val="22"/>
          <w:szCs w:val="22"/>
        </w:rPr>
        <w:t>.  In any case, including Enron’s insolvency, Guarantor will not exercise any rights, which it may acquire by way of subrogation, before all Obligations due to Counterparty shall have been paid in full.  Subject to the foregoing, upon payment of all Obligations, Guarantor shall be subrogated to the rights of Counterparty against Enron and Counterparty agrees to take, at Guarantor’s expense, such steps as Guarantor may reasonably request to implement such subrogation.</w:t>
      </w:r>
    </w:p>
    <w:p>
      <w:pPr>
        <w:pStyle w:val="Normal"/>
        <w:spacing w:lineRule="atLeast" w:line="240"/>
        <w:jc w:val="both"/>
        <w:rPr>
          <w:color w:val="000000"/>
          <w:sz w:val="22"/>
          <w:szCs w:val="22"/>
        </w:rPr>
      </w:pPr>
      <w:r>
        <w:rPr>
          <w:color w:val="000000"/>
          <w:sz w:val="22"/>
          <w:szCs w:val="22"/>
        </w:rPr>
      </w:r>
    </w:p>
    <w:p>
      <w:pPr>
        <w:pStyle w:val="Normal"/>
        <w:spacing w:lineRule="atLeast" w:line="240"/>
        <w:ind w:firstLine="720" w:end="0"/>
        <w:jc w:val="both"/>
        <w:rPr/>
      </w:pPr>
      <w:r>
        <w:rPr>
          <w:b/>
          <w:bCs/>
          <w:color w:val="000000"/>
          <w:sz w:val="22"/>
          <w:szCs w:val="22"/>
        </w:rPr>
        <w:t xml:space="preserve">Section 5.  </w:t>
      </w:r>
      <w:r>
        <w:rPr>
          <w:b/>
          <w:bCs/>
          <w:color w:val="000000"/>
          <w:sz w:val="22"/>
          <w:szCs w:val="22"/>
          <w:u w:val="single"/>
        </w:rPr>
        <w:t>Cumulative Rights</w:t>
      </w:r>
      <w:r>
        <w:rPr>
          <w:color w:val="000000"/>
          <w:sz w:val="22"/>
          <w:szCs w:val="22"/>
        </w:rPr>
        <w:t>.  Except as to applicable statutes of limitation, no delay of Counterparty in the exercise of, or failure to exercise, any rights hereunder shall operate as a waiver of such rights, a waiver of any other rights, or a release of Guarantor from any obligations hereunder, nor shall any single or partial exercise by Counterparty of any right, remedy, or power hereunder preclude any other future exercise of any right, remedy, or power.  Each and every right, remedy, and power hereby granted to Counterparty or allowed to it by law shall be cumulative and not exclusive of any other, and may be exercised by Counterparty from time to time.</w:t>
      </w:r>
      <w:r>
        <w:br w:type="page"/>
      </w:r>
    </w:p>
    <w:p>
      <w:pPr>
        <w:pStyle w:val="Normal"/>
        <w:spacing w:lineRule="atLeast" w:line="240"/>
        <w:ind w:firstLine="720" w:end="0"/>
        <w:jc w:val="both"/>
        <w:rPr/>
      </w:pPr>
      <w:r>
        <w:rPr>
          <w:b/>
          <w:bCs/>
          <w:color w:val="000000"/>
          <w:sz w:val="22"/>
          <w:szCs w:val="22"/>
        </w:rPr>
        <w:t xml:space="preserve">Section 6.  </w:t>
      </w:r>
      <w:r>
        <w:rPr>
          <w:b/>
          <w:bCs/>
          <w:color w:val="000000"/>
          <w:sz w:val="22"/>
          <w:szCs w:val="22"/>
          <w:u w:val="single"/>
        </w:rPr>
        <w:t>Waiver of Notice</w:t>
      </w:r>
      <w:r>
        <w:rPr>
          <w:color w:val="000000"/>
          <w:sz w:val="22"/>
          <w:szCs w:val="22"/>
        </w:rPr>
        <w:t xml:space="preserve">. </w:t>
      </w:r>
      <w:r>
        <w:rPr>
          <w:b/>
          <w:bCs/>
          <w:color w:val="000000"/>
          <w:sz w:val="22"/>
          <w:szCs w:val="22"/>
        </w:rPr>
        <w:t xml:space="preserve"> </w:t>
      </w:r>
      <w:r>
        <w:rPr>
          <w:color w:val="000000"/>
          <w:sz w:val="22"/>
          <w:szCs w:val="22"/>
        </w:rPr>
        <w:t xml:space="preserve">Guarantor hereby waives (a) notice of acceptance of this Guaranty; (b) presentment and demand concerning the liabilities of Guarantor, except as expressly hereinabove set forth; and (c) notice of exercise of any right and all other notices, except as herein set forth. </w:t>
      </w:r>
    </w:p>
    <w:p>
      <w:pPr>
        <w:pStyle w:val="Normal"/>
        <w:spacing w:lineRule="atLeast" w:line="240"/>
        <w:jc w:val="both"/>
        <w:rPr>
          <w:b/>
          <w:bCs/>
          <w:color w:val="000000"/>
          <w:sz w:val="22"/>
          <w:szCs w:val="22"/>
          <w:u w:val="single"/>
        </w:rPr>
      </w:pPr>
      <w:r>
        <w:rPr>
          <w:b/>
          <w:bCs/>
          <w:color w:val="000000"/>
          <w:sz w:val="22"/>
          <w:szCs w:val="22"/>
          <w:u w:val="single"/>
        </w:rPr>
      </w:r>
    </w:p>
    <w:p>
      <w:pPr>
        <w:pStyle w:val="Normal"/>
        <w:keepNext w:val="true"/>
        <w:spacing w:lineRule="atLeast" w:line="240"/>
        <w:ind w:firstLine="720" w:end="0"/>
        <w:jc w:val="both"/>
        <w:rPr/>
      </w:pPr>
      <w:r>
        <w:rPr>
          <w:b/>
          <w:bCs/>
          <w:color w:val="000000"/>
          <w:sz w:val="22"/>
          <w:szCs w:val="22"/>
        </w:rPr>
        <w:t xml:space="preserve">Section 7.  </w:t>
      </w:r>
      <w:r>
        <w:rPr>
          <w:b/>
          <w:bCs/>
          <w:color w:val="000000"/>
          <w:sz w:val="22"/>
          <w:szCs w:val="22"/>
          <w:u w:val="single"/>
        </w:rPr>
        <w:t>Representations and Warranties</w:t>
      </w:r>
      <w:r>
        <w:rPr>
          <w:color w:val="000000"/>
          <w:sz w:val="22"/>
          <w:szCs w:val="22"/>
        </w:rPr>
        <w:t>.  Guarantor represents and warrants that:</w:t>
      </w:r>
    </w:p>
    <w:p>
      <w:pPr>
        <w:pStyle w:val="Normal"/>
        <w:keepNext w:val="true"/>
        <w:spacing w:lineRule="exact" w:line="240" w:before="240" w:after="0"/>
        <w:ind w:firstLine="630" w:start="810" w:end="0"/>
        <w:jc w:val="both"/>
        <w:rPr>
          <w:color w:val="000000"/>
          <w:sz w:val="22"/>
          <w:szCs w:val="22"/>
        </w:rPr>
      </w:pPr>
      <w:r>
        <w:rPr>
          <w:color w:val="000000"/>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color w:val="000000"/>
          <w:sz w:val="22"/>
          <w:szCs w:val="22"/>
        </w:rPr>
      </w:pPr>
      <w:r>
        <w:rPr>
          <w:color w:val="000000"/>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color w:val="000000"/>
          <w:sz w:val="22"/>
          <w:szCs w:val="22"/>
        </w:rPr>
      </w:pPr>
      <w:r>
        <w:rPr>
          <w:color w:val="000000"/>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color w:val="000000"/>
          <w:sz w:val="22"/>
          <w:szCs w:val="22"/>
        </w:rPr>
      </w:pPr>
      <w:r>
        <w:rPr>
          <w:color w:val="000000"/>
          <w:sz w:val="22"/>
          <w:szCs w:val="22"/>
        </w:rPr>
      </w:r>
    </w:p>
    <w:p>
      <w:pPr>
        <w:pStyle w:val="Normal"/>
        <w:spacing w:lineRule="atLeast" w:line="240"/>
        <w:ind w:firstLine="720" w:end="0"/>
        <w:jc w:val="both"/>
        <w:rPr/>
      </w:pPr>
      <w:r>
        <w:rPr>
          <w:b/>
          <w:bCs/>
          <w:color w:val="000000"/>
          <w:sz w:val="22"/>
          <w:szCs w:val="22"/>
        </w:rPr>
        <w:t xml:space="preserve">Section 8.  </w:t>
      </w:r>
      <w:r>
        <w:rPr>
          <w:b/>
          <w:bCs/>
          <w:color w:val="000000"/>
          <w:sz w:val="22"/>
          <w:szCs w:val="22"/>
          <w:u w:val="single"/>
        </w:rPr>
        <w:t>Setoffs and Counterclaims</w:t>
      </w:r>
      <w:r>
        <w:rPr>
          <w:color w:val="000000"/>
          <w:sz w:val="22"/>
          <w:szCs w:val="22"/>
        </w:rPr>
        <w:t>.  Without limiting Guarantor’s own defenses and rights hereunder, Guarantor reserves to itself all rights, setoffs, counterclaims and other defenses to which Enron or any other affiliate of Guarantor is or may be entitled to arising from or out of the Agreements or otherwise, except for defenses arising out of the bankruptcy, insolvency, dissolution or liquidation of Enron.</w:t>
      </w:r>
    </w:p>
    <w:p>
      <w:pPr>
        <w:pStyle w:val="Normal"/>
        <w:spacing w:lineRule="atLeast" w:line="240"/>
        <w:ind w:firstLine="720" w:end="0"/>
        <w:jc w:val="both"/>
        <w:rPr>
          <w:b/>
          <w:bCs/>
          <w:color w:val="000000"/>
          <w:sz w:val="22"/>
          <w:szCs w:val="22"/>
        </w:rPr>
      </w:pPr>
      <w:r>
        <w:rPr>
          <w:b/>
          <w:bCs/>
          <w:color w:val="000000"/>
          <w:sz w:val="22"/>
          <w:szCs w:val="22"/>
        </w:rPr>
      </w:r>
    </w:p>
    <w:p>
      <w:pPr>
        <w:pStyle w:val="Normal"/>
        <w:spacing w:lineRule="atLeast" w:line="240"/>
        <w:ind w:firstLine="720" w:end="0"/>
        <w:jc w:val="both"/>
        <w:rPr/>
      </w:pPr>
      <w:r>
        <w:rPr>
          <w:b/>
          <w:bCs/>
          <w:color w:val="000000"/>
          <w:sz w:val="22"/>
          <w:szCs w:val="22"/>
        </w:rPr>
        <w:t xml:space="preserve">Section 9.  </w:t>
      </w:r>
      <w:r>
        <w:rPr>
          <w:b/>
          <w:bCs/>
          <w:color w:val="000000"/>
          <w:sz w:val="22"/>
          <w:szCs w:val="22"/>
          <w:u w:val="single"/>
        </w:rPr>
        <w:t>Termination</w:t>
      </w:r>
      <w:r>
        <w:rPr>
          <w:color w:val="000000"/>
          <w:sz w:val="22"/>
          <w:szCs w:val="22"/>
        </w:rPr>
        <w:t>.  This guarantee of payment is a continuing guarantee effective during the term of the Agreements and until complete payment by Enron of the Obligations.  However, Guarantor may terminate this Guaranty with respect to future obligations of Enron by providing written notice of such termination to Counterparty.  Guarantor’s notice of termination will become effective on the fifth (5</w:t>
      </w:r>
      <w:r>
        <w:rPr>
          <w:color w:val="000000"/>
          <w:sz w:val="22"/>
          <w:szCs w:val="22"/>
          <w:vertAlign w:val="superscript"/>
        </w:rPr>
        <w:t>th</w:t>
      </w:r>
      <w:r>
        <w:rPr>
          <w:color w:val="000000"/>
          <w:sz w:val="22"/>
          <w:szCs w:val="22"/>
        </w:rPr>
        <w:t>) day after receipt by Counterparty.  Upon the effectiveness of such termination, Guarantor shall have no further liability hereunder, except no such termination shall affect Guarantor's liability with respect to any Obligations incurred prior to the time the termination is effective.</w:t>
      </w:r>
    </w:p>
    <w:p>
      <w:pPr>
        <w:pStyle w:val="Normal"/>
        <w:spacing w:lineRule="atLeast" w:line="240"/>
        <w:ind w:firstLine="720" w:end="0"/>
        <w:jc w:val="both"/>
        <w:rPr>
          <w:color w:val="000000"/>
          <w:sz w:val="22"/>
          <w:szCs w:val="22"/>
        </w:rPr>
      </w:pPr>
      <w:r>
        <w:rPr>
          <w:color w:val="000000"/>
          <w:sz w:val="22"/>
          <w:szCs w:val="22"/>
        </w:rPr>
      </w:r>
    </w:p>
    <w:p>
      <w:pPr>
        <w:pStyle w:val="Normal"/>
        <w:spacing w:lineRule="atLeast" w:line="240"/>
        <w:ind w:firstLine="720" w:end="0"/>
        <w:jc w:val="both"/>
        <w:rPr/>
      </w:pPr>
      <w:r>
        <w:rPr>
          <w:b/>
          <w:bCs/>
          <w:color w:val="000000"/>
          <w:sz w:val="22"/>
          <w:szCs w:val="22"/>
        </w:rPr>
        <w:t xml:space="preserve">Section 10.  </w:t>
      </w:r>
      <w:r>
        <w:rPr>
          <w:b/>
          <w:bCs/>
          <w:color w:val="000000"/>
          <w:sz w:val="22"/>
          <w:szCs w:val="22"/>
          <w:u w:val="single"/>
        </w:rPr>
        <w:t>Assignment</w:t>
      </w:r>
      <w:r>
        <w:rPr>
          <w:color w:val="000000"/>
          <w:sz w:val="22"/>
          <w:szCs w:val="22"/>
        </w:rPr>
        <w:t>.  Any assignment of this Guaranty shall be subject to the terms and provisions of the Master Agreement.  This Guaranty shall be binding upon Guarantor, its successors and assigns, and inure to the benefit of and be enforceable by Counterparty, its successors and assigns, provided that Guarantor shall have been given notice of any such assignment.</w:t>
      </w:r>
    </w:p>
    <w:p>
      <w:pPr>
        <w:pStyle w:val="Normal"/>
        <w:spacing w:lineRule="atLeast" w:line="240"/>
        <w:ind w:firstLine="720" w:end="0"/>
        <w:jc w:val="both"/>
        <w:rPr>
          <w:color w:val="000000"/>
          <w:sz w:val="22"/>
          <w:szCs w:val="22"/>
        </w:rPr>
      </w:pPr>
      <w:r>
        <w:rPr>
          <w:color w:val="000000"/>
          <w:sz w:val="22"/>
          <w:szCs w:val="22"/>
        </w:rPr>
      </w:r>
    </w:p>
    <w:p>
      <w:pPr>
        <w:pStyle w:val="Normal"/>
        <w:spacing w:lineRule="atLeast" w:line="240"/>
        <w:ind w:firstLine="720" w:end="0"/>
        <w:jc w:val="both"/>
        <w:rPr/>
      </w:pPr>
      <w:r>
        <w:rPr>
          <w:b/>
          <w:bCs/>
          <w:color w:val="000000"/>
          <w:sz w:val="22"/>
          <w:szCs w:val="22"/>
        </w:rPr>
        <w:t xml:space="preserve">Section 11.  </w:t>
      </w:r>
      <w:r>
        <w:rPr>
          <w:b/>
          <w:bCs/>
          <w:color w:val="000000"/>
          <w:sz w:val="22"/>
          <w:szCs w:val="22"/>
          <w:u w:val="single"/>
        </w:rPr>
        <w:t>Notice</w:t>
      </w:r>
      <w:r>
        <w:rPr>
          <w:color w:val="000000"/>
          <w:sz w:val="22"/>
          <w:szCs w:val="22"/>
        </w:rPr>
        <w:t>.  Any Payment Demand, notice, request, instruction, correspondence or other communication to be given hereunder by any party to another (herein collectively called “Notice”) shall be in writing and delivered personally or mailed by certified mail, postage prepaid and return receipt requested, or by telecopier, as follows:</w:t>
      </w:r>
    </w:p>
    <w:p>
      <w:pPr>
        <w:pStyle w:val="Normal"/>
        <w:tabs>
          <w:tab w:val="clear" w:pos="720"/>
          <w:tab w:val="left" w:pos="2880" w:leader="none"/>
          <w:tab w:val="left" w:pos="6480" w:leader="none"/>
        </w:tabs>
        <w:spacing w:lineRule="exact" w:line="240"/>
        <w:ind w:start="720" w:end="0"/>
        <w:jc w:val="both"/>
        <w:rPr>
          <w:color w:val="000000"/>
          <w:sz w:val="22"/>
          <w:szCs w:val="22"/>
        </w:rPr>
      </w:pPr>
      <w:r>
        <w:rPr>
          <w:color w:val="000000"/>
          <w:sz w:val="22"/>
          <w:szCs w:val="22"/>
        </w:rPr>
      </w:r>
    </w:p>
    <w:tbl>
      <w:tblPr>
        <w:tblW w:w="10548" w:type="dxa"/>
        <w:jc w:val="start"/>
        <w:tblInd w:w="0" w:type="dxa"/>
        <w:tblLayout w:type="fixed"/>
        <w:tblCellMar>
          <w:top w:w="0" w:type="dxa"/>
          <w:start w:w="108" w:type="dxa"/>
          <w:bottom w:w="0" w:type="dxa"/>
          <w:end w:w="108" w:type="dxa"/>
        </w:tblCellMar>
      </w:tblPr>
      <w:tblGrid>
        <w:gridCol w:w="1728"/>
        <w:gridCol w:w="3420"/>
        <w:gridCol w:w="1620"/>
        <w:gridCol w:w="3780"/>
      </w:tblGrid>
      <w:tr>
        <w:trPr/>
        <w:tc>
          <w:tcPr>
            <w:tcW w:w="1728" w:type="dxa"/>
            <w:tcBorders/>
          </w:tcPr>
          <w:p>
            <w:pPr>
              <w:pStyle w:val="Normal"/>
              <w:keepNext w:val="true"/>
              <w:keepLines/>
              <w:spacing w:lineRule="atLeast" w:line="240"/>
              <w:jc w:val="both"/>
              <w:rPr>
                <w:color w:val="000000"/>
                <w:sz w:val="22"/>
                <w:szCs w:val="22"/>
              </w:rPr>
            </w:pPr>
            <w:r>
              <w:rPr>
                <w:color w:val="000000"/>
                <w:sz w:val="22"/>
                <w:szCs w:val="22"/>
              </w:rPr>
              <w:t>To Counterparty:</w:t>
            </w:r>
          </w:p>
        </w:tc>
        <w:tc>
          <w:tcPr>
            <w:tcW w:w="3420" w:type="dxa"/>
            <w:tcBorders/>
          </w:tcPr>
          <w:p>
            <w:pPr>
              <w:pStyle w:val="Normal"/>
              <w:keepNext w:val="true"/>
              <w:keepLines/>
              <w:tabs>
                <w:tab w:val="clear" w:pos="720"/>
                <w:tab w:val="left" w:pos="3132" w:leader="none"/>
              </w:tabs>
              <w:spacing w:lineRule="atLeast" w:line="240"/>
              <w:jc w:val="both"/>
              <w:rPr>
                <w:color w:val="000000"/>
                <w:sz w:val="22"/>
                <w:szCs w:val="22"/>
              </w:rPr>
            </w:pPr>
            <w:r>
              <w:rPr>
                <w:color w:val="000000"/>
                <w:sz w:val="22"/>
                <w:szCs w:val="22"/>
              </w:rPr>
              <w:t>HQ Energy Services (U.S.) Inc.</w:t>
            </w:r>
          </w:p>
        </w:tc>
        <w:tc>
          <w:tcPr>
            <w:tcW w:w="1620" w:type="dxa"/>
            <w:tcBorders/>
          </w:tcPr>
          <w:p>
            <w:pPr>
              <w:pStyle w:val="Normal"/>
              <w:keepNext w:val="true"/>
              <w:keepLines/>
              <w:spacing w:lineRule="atLeast" w:line="240"/>
              <w:jc w:val="both"/>
              <w:rPr>
                <w:color w:val="000000"/>
                <w:sz w:val="22"/>
                <w:szCs w:val="22"/>
              </w:rPr>
            </w:pPr>
            <w:r>
              <w:rPr>
                <w:color w:val="000000"/>
                <w:sz w:val="22"/>
                <w:szCs w:val="22"/>
              </w:rPr>
              <w:t>To Guarantor:</w:t>
            </w:r>
          </w:p>
        </w:tc>
        <w:tc>
          <w:tcPr>
            <w:tcW w:w="3780" w:type="dxa"/>
            <w:tcBorders/>
          </w:tcPr>
          <w:p>
            <w:pPr>
              <w:pStyle w:val="Normal"/>
              <w:keepNext w:val="true"/>
              <w:keepLines/>
              <w:tabs>
                <w:tab w:val="clear" w:pos="720"/>
                <w:tab w:val="right" w:pos="2988" w:leader="none"/>
              </w:tabs>
              <w:spacing w:lineRule="atLeast" w:line="240"/>
              <w:jc w:val="both"/>
              <w:rPr>
                <w:color w:val="000000"/>
                <w:sz w:val="22"/>
                <w:szCs w:val="22"/>
              </w:rPr>
            </w:pPr>
            <w:r>
              <w:rPr>
                <w:color w:val="000000"/>
                <w:sz w:val="22"/>
                <w:szCs w:val="22"/>
              </w:rPr>
              <w:t>Enron Corp.</w:t>
            </w:r>
          </w:p>
        </w:tc>
      </w:tr>
      <w:tr>
        <w:trPr/>
        <w:tc>
          <w:tcPr>
            <w:tcW w:w="1728" w:type="dxa"/>
            <w:tcBorders/>
          </w:tcPr>
          <w:p>
            <w:pPr>
              <w:pStyle w:val="Normal"/>
              <w:keepNext w:val="true"/>
              <w:keepLines/>
              <w:snapToGrid w:val="false"/>
              <w:spacing w:lineRule="atLeast" w:line="240"/>
              <w:jc w:val="both"/>
              <w:rPr>
                <w:color w:val="000000"/>
                <w:sz w:val="22"/>
                <w:szCs w:val="22"/>
              </w:rPr>
            </w:pPr>
            <w:r>
              <w:rPr>
                <w:color w:val="000000"/>
                <w:sz w:val="22"/>
                <w:szCs w:val="22"/>
              </w:rPr>
            </w:r>
          </w:p>
        </w:tc>
        <w:tc>
          <w:tcPr>
            <w:tcW w:w="3420" w:type="dxa"/>
            <w:tcBorders/>
          </w:tcPr>
          <w:p>
            <w:pPr>
              <w:pStyle w:val="Normal"/>
              <w:keepNext w:val="true"/>
              <w:keepLines/>
              <w:tabs>
                <w:tab w:val="clear" w:pos="720"/>
                <w:tab w:val="left" w:pos="3132" w:leader="none"/>
              </w:tabs>
              <w:spacing w:lineRule="atLeast" w:line="240"/>
              <w:jc w:val="both"/>
              <w:rPr/>
            </w:pPr>
            <w:r>
              <w:rPr>
                <w:color w:val="000000"/>
                <w:sz w:val="22"/>
                <w:szCs w:val="22"/>
              </w:rPr>
              <w:t>1010 Ste-Catherine West, 8</w:t>
            </w:r>
            <w:r>
              <w:rPr>
                <w:color w:val="000000"/>
                <w:sz w:val="22"/>
                <w:szCs w:val="22"/>
                <w:vertAlign w:val="superscript"/>
              </w:rPr>
              <w:t>th</w:t>
            </w:r>
            <w:r>
              <w:rPr>
                <w:color w:val="000000"/>
                <w:sz w:val="22"/>
                <w:szCs w:val="22"/>
              </w:rPr>
              <w:t xml:space="preserve"> Floor</w:t>
            </w:r>
          </w:p>
        </w:tc>
        <w:tc>
          <w:tcPr>
            <w:tcW w:w="1620" w:type="dxa"/>
            <w:tcBorders/>
          </w:tcPr>
          <w:p>
            <w:pPr>
              <w:pStyle w:val="Normal"/>
              <w:keepNext w:val="true"/>
              <w:keepLines/>
              <w:snapToGrid w:val="false"/>
              <w:spacing w:lineRule="atLeast" w:line="240"/>
              <w:jc w:val="both"/>
              <w:rPr>
                <w:color w:val="000000"/>
                <w:sz w:val="22"/>
                <w:szCs w:val="22"/>
              </w:rPr>
            </w:pPr>
            <w:r>
              <w:rPr>
                <w:color w:val="000000"/>
                <w:sz w:val="22"/>
                <w:szCs w:val="22"/>
              </w:rPr>
            </w:r>
          </w:p>
        </w:tc>
        <w:tc>
          <w:tcPr>
            <w:tcW w:w="3780" w:type="dxa"/>
            <w:tcBorders/>
          </w:tcPr>
          <w:p>
            <w:pPr>
              <w:pStyle w:val="Normal"/>
              <w:keepNext w:val="true"/>
              <w:keepLines/>
              <w:tabs>
                <w:tab w:val="clear" w:pos="720"/>
                <w:tab w:val="right" w:pos="2988" w:leader="none"/>
              </w:tabs>
              <w:spacing w:lineRule="atLeast" w:line="240"/>
              <w:jc w:val="both"/>
              <w:rPr>
                <w:color w:val="000000"/>
                <w:sz w:val="22"/>
                <w:szCs w:val="22"/>
              </w:rPr>
            </w:pPr>
            <w:r>
              <w:rPr>
                <w:color w:val="000000"/>
                <w:sz w:val="22"/>
                <w:szCs w:val="22"/>
              </w:rPr>
              <w:t>1400 Smith Street</w:t>
            </w:r>
          </w:p>
        </w:tc>
      </w:tr>
      <w:tr>
        <w:trPr/>
        <w:tc>
          <w:tcPr>
            <w:tcW w:w="1728" w:type="dxa"/>
            <w:tcBorders/>
          </w:tcPr>
          <w:p>
            <w:pPr>
              <w:pStyle w:val="Normal"/>
              <w:keepNext w:val="true"/>
              <w:keepLines/>
              <w:snapToGrid w:val="false"/>
              <w:spacing w:lineRule="atLeast" w:line="240"/>
              <w:jc w:val="both"/>
              <w:rPr>
                <w:color w:val="000000"/>
                <w:sz w:val="22"/>
                <w:szCs w:val="22"/>
              </w:rPr>
            </w:pPr>
            <w:r>
              <w:rPr>
                <w:color w:val="000000"/>
                <w:sz w:val="22"/>
                <w:szCs w:val="22"/>
              </w:rPr>
            </w:r>
          </w:p>
        </w:tc>
        <w:tc>
          <w:tcPr>
            <w:tcW w:w="3420" w:type="dxa"/>
            <w:tcBorders/>
          </w:tcPr>
          <w:p>
            <w:pPr>
              <w:pStyle w:val="Normal"/>
              <w:keepNext w:val="true"/>
              <w:keepLines/>
              <w:tabs>
                <w:tab w:val="clear" w:pos="720"/>
                <w:tab w:val="left" w:pos="3132" w:leader="none"/>
              </w:tabs>
              <w:spacing w:lineRule="atLeast" w:line="240"/>
              <w:jc w:val="both"/>
              <w:rPr>
                <w:color w:val="000000"/>
                <w:sz w:val="22"/>
                <w:szCs w:val="22"/>
              </w:rPr>
            </w:pPr>
            <w:r>
              <w:rPr>
                <w:color w:val="000000"/>
                <w:sz w:val="22"/>
                <w:szCs w:val="22"/>
              </w:rPr>
              <w:t xml:space="preserve">Montreal, Quebec, Canada </w:t>
            </w:r>
          </w:p>
          <w:p>
            <w:pPr>
              <w:pStyle w:val="Normal"/>
              <w:keepNext w:val="true"/>
              <w:keepLines/>
              <w:tabs>
                <w:tab w:val="clear" w:pos="720"/>
                <w:tab w:val="left" w:pos="3132" w:leader="none"/>
              </w:tabs>
              <w:spacing w:lineRule="atLeast" w:line="240"/>
              <w:jc w:val="both"/>
              <w:rPr>
                <w:color w:val="000000"/>
                <w:sz w:val="22"/>
                <w:szCs w:val="22"/>
              </w:rPr>
            </w:pPr>
            <w:r>
              <w:rPr>
                <w:color w:val="000000"/>
                <w:sz w:val="22"/>
                <w:szCs w:val="22"/>
              </w:rPr>
              <w:t>H3C 4S8</w:t>
            </w:r>
          </w:p>
        </w:tc>
        <w:tc>
          <w:tcPr>
            <w:tcW w:w="1620" w:type="dxa"/>
            <w:tcBorders/>
          </w:tcPr>
          <w:p>
            <w:pPr>
              <w:pStyle w:val="Normal"/>
              <w:keepNext w:val="true"/>
              <w:keepLines/>
              <w:snapToGrid w:val="false"/>
              <w:spacing w:lineRule="atLeast" w:line="240"/>
              <w:jc w:val="both"/>
              <w:rPr>
                <w:color w:val="000000"/>
                <w:sz w:val="22"/>
                <w:szCs w:val="22"/>
              </w:rPr>
            </w:pPr>
            <w:r>
              <w:rPr>
                <w:color w:val="000000"/>
                <w:sz w:val="22"/>
                <w:szCs w:val="22"/>
              </w:rPr>
            </w:r>
          </w:p>
        </w:tc>
        <w:tc>
          <w:tcPr>
            <w:tcW w:w="3780" w:type="dxa"/>
            <w:tcBorders/>
          </w:tcPr>
          <w:p>
            <w:pPr>
              <w:pStyle w:val="Normal"/>
              <w:keepNext w:val="true"/>
              <w:keepLines/>
              <w:tabs>
                <w:tab w:val="clear" w:pos="720"/>
                <w:tab w:val="right" w:pos="2988" w:leader="none"/>
              </w:tabs>
              <w:spacing w:lineRule="atLeast" w:line="240"/>
              <w:jc w:val="both"/>
              <w:rPr>
                <w:color w:val="000000"/>
                <w:sz w:val="22"/>
                <w:szCs w:val="22"/>
              </w:rPr>
            </w:pPr>
            <w:r>
              <w:rPr>
                <w:color w:val="000000"/>
                <w:sz w:val="22"/>
                <w:szCs w:val="22"/>
              </w:rPr>
              <w:t>Houston, Texas  77002</w:t>
            </w:r>
          </w:p>
        </w:tc>
      </w:tr>
      <w:tr>
        <w:trPr/>
        <w:tc>
          <w:tcPr>
            <w:tcW w:w="1728" w:type="dxa"/>
            <w:tcBorders/>
          </w:tcPr>
          <w:p>
            <w:pPr>
              <w:pStyle w:val="Normal"/>
              <w:keepNext w:val="true"/>
              <w:keepLines/>
              <w:snapToGrid w:val="false"/>
              <w:spacing w:lineRule="atLeast" w:line="240"/>
              <w:jc w:val="both"/>
              <w:rPr>
                <w:color w:val="000000"/>
                <w:sz w:val="22"/>
                <w:szCs w:val="22"/>
              </w:rPr>
            </w:pPr>
            <w:r>
              <w:rPr>
                <w:color w:val="000000"/>
                <w:sz w:val="22"/>
                <w:szCs w:val="22"/>
              </w:rPr>
            </w:r>
          </w:p>
        </w:tc>
        <w:tc>
          <w:tcPr>
            <w:tcW w:w="3420" w:type="dxa"/>
            <w:tcBorders/>
          </w:tcPr>
          <w:p>
            <w:pPr>
              <w:pStyle w:val="Normal"/>
              <w:keepNext w:val="true"/>
              <w:keepLines/>
              <w:tabs>
                <w:tab w:val="clear" w:pos="720"/>
                <w:tab w:val="left" w:pos="3132" w:leader="none"/>
              </w:tabs>
              <w:spacing w:lineRule="atLeast" w:line="240"/>
              <w:jc w:val="both"/>
              <w:rPr>
                <w:color w:val="000000"/>
                <w:sz w:val="22"/>
                <w:szCs w:val="22"/>
              </w:rPr>
            </w:pPr>
            <w:r>
              <w:rPr>
                <w:color w:val="000000"/>
                <w:sz w:val="22"/>
                <w:szCs w:val="22"/>
              </w:rPr>
              <w:t>Attn.:  Treasurer</w:t>
            </w:r>
          </w:p>
          <w:p>
            <w:pPr>
              <w:pStyle w:val="Normal"/>
              <w:keepNext w:val="true"/>
              <w:keepLines/>
              <w:tabs>
                <w:tab w:val="clear" w:pos="720"/>
                <w:tab w:val="left" w:pos="3132" w:leader="none"/>
              </w:tabs>
              <w:spacing w:lineRule="atLeast" w:line="240"/>
              <w:jc w:val="both"/>
              <w:rPr>
                <w:color w:val="000000"/>
                <w:sz w:val="22"/>
                <w:szCs w:val="22"/>
              </w:rPr>
            </w:pPr>
            <w:r>
              <w:rPr>
                <w:color w:val="000000"/>
                <w:sz w:val="22"/>
                <w:szCs w:val="22"/>
              </w:rPr>
              <w:t xml:space="preserve">  </w:t>
            </w:r>
          </w:p>
        </w:tc>
        <w:tc>
          <w:tcPr>
            <w:tcW w:w="1620" w:type="dxa"/>
            <w:tcBorders/>
          </w:tcPr>
          <w:p>
            <w:pPr>
              <w:pStyle w:val="Normal"/>
              <w:keepNext w:val="true"/>
              <w:keepLines/>
              <w:snapToGrid w:val="false"/>
              <w:spacing w:lineRule="atLeast" w:line="240"/>
              <w:jc w:val="both"/>
              <w:rPr>
                <w:color w:val="000000"/>
                <w:sz w:val="22"/>
                <w:szCs w:val="22"/>
              </w:rPr>
            </w:pPr>
            <w:r>
              <w:rPr>
                <w:color w:val="000000"/>
                <w:sz w:val="22"/>
                <w:szCs w:val="22"/>
              </w:rPr>
            </w:r>
          </w:p>
        </w:tc>
        <w:tc>
          <w:tcPr>
            <w:tcW w:w="3780" w:type="dxa"/>
            <w:tcBorders/>
          </w:tcPr>
          <w:p>
            <w:pPr>
              <w:pStyle w:val="Normal"/>
              <w:keepNext w:val="true"/>
              <w:keepLines/>
              <w:tabs>
                <w:tab w:val="clear" w:pos="720"/>
                <w:tab w:val="right" w:pos="2988" w:leader="none"/>
              </w:tabs>
              <w:spacing w:lineRule="atLeast" w:line="240"/>
              <w:jc w:val="both"/>
              <w:rPr>
                <w:color w:val="000000"/>
                <w:sz w:val="22"/>
                <w:szCs w:val="22"/>
              </w:rPr>
            </w:pPr>
            <w:r>
              <w:rPr>
                <w:color w:val="000000"/>
                <w:sz w:val="22"/>
                <w:szCs w:val="22"/>
              </w:rPr>
              <w:t xml:space="preserve">Attn.:  Vice President, </w:t>
            </w:r>
          </w:p>
          <w:p>
            <w:pPr>
              <w:pStyle w:val="Normal"/>
              <w:keepNext w:val="true"/>
              <w:keepLines/>
              <w:tabs>
                <w:tab w:val="clear" w:pos="720"/>
                <w:tab w:val="right" w:pos="2988" w:leader="none"/>
              </w:tabs>
              <w:spacing w:lineRule="atLeast" w:line="240"/>
              <w:jc w:val="both"/>
              <w:rPr>
                <w:color w:val="000000"/>
                <w:sz w:val="22"/>
                <w:szCs w:val="22"/>
              </w:rPr>
            </w:pPr>
            <w:r>
              <w:rPr>
                <w:color w:val="000000"/>
                <w:sz w:val="22"/>
                <w:szCs w:val="22"/>
              </w:rPr>
              <w:t>Finance and Treasurer</w:t>
            </w:r>
          </w:p>
        </w:tc>
      </w:tr>
      <w:tr>
        <w:trPr/>
        <w:tc>
          <w:tcPr>
            <w:tcW w:w="1728" w:type="dxa"/>
            <w:tcBorders/>
          </w:tcPr>
          <w:p>
            <w:pPr>
              <w:pStyle w:val="Normal"/>
              <w:keepNext w:val="true"/>
              <w:keepLines/>
              <w:snapToGrid w:val="false"/>
              <w:spacing w:lineRule="atLeast" w:line="240"/>
              <w:jc w:val="both"/>
              <w:rPr>
                <w:color w:val="000000"/>
                <w:sz w:val="22"/>
                <w:szCs w:val="22"/>
              </w:rPr>
            </w:pPr>
            <w:r>
              <w:rPr>
                <w:color w:val="000000"/>
                <w:sz w:val="22"/>
                <w:szCs w:val="22"/>
              </w:rPr>
            </w:r>
          </w:p>
        </w:tc>
        <w:tc>
          <w:tcPr>
            <w:tcW w:w="3420" w:type="dxa"/>
            <w:tcBorders/>
          </w:tcPr>
          <w:p>
            <w:pPr>
              <w:pStyle w:val="Normal"/>
              <w:keepNext w:val="true"/>
              <w:keepLines/>
              <w:tabs>
                <w:tab w:val="clear" w:pos="720"/>
                <w:tab w:val="left" w:pos="3132" w:leader="none"/>
              </w:tabs>
              <w:spacing w:lineRule="atLeast" w:line="240"/>
              <w:jc w:val="both"/>
              <w:rPr>
                <w:color w:val="000000"/>
                <w:sz w:val="22"/>
                <w:szCs w:val="22"/>
              </w:rPr>
            </w:pPr>
            <w:r>
              <w:rPr>
                <w:color w:val="000000"/>
                <w:sz w:val="22"/>
                <w:szCs w:val="22"/>
              </w:rPr>
              <w:t xml:space="preserve">Fax No.:  </w:t>
            </w:r>
          </w:p>
        </w:tc>
        <w:tc>
          <w:tcPr>
            <w:tcW w:w="1620" w:type="dxa"/>
            <w:tcBorders/>
          </w:tcPr>
          <w:p>
            <w:pPr>
              <w:pStyle w:val="Normal"/>
              <w:keepNext w:val="true"/>
              <w:keepLines/>
              <w:snapToGrid w:val="false"/>
              <w:spacing w:lineRule="atLeast" w:line="240"/>
              <w:jc w:val="both"/>
              <w:rPr>
                <w:color w:val="000000"/>
                <w:sz w:val="22"/>
                <w:szCs w:val="22"/>
              </w:rPr>
            </w:pPr>
            <w:r>
              <w:rPr>
                <w:color w:val="000000"/>
                <w:sz w:val="22"/>
                <w:szCs w:val="22"/>
              </w:rPr>
            </w:r>
          </w:p>
        </w:tc>
        <w:tc>
          <w:tcPr>
            <w:tcW w:w="3780" w:type="dxa"/>
            <w:tcBorders/>
          </w:tcPr>
          <w:p>
            <w:pPr>
              <w:pStyle w:val="Normal"/>
              <w:keepNext w:val="true"/>
              <w:keepLines/>
              <w:tabs>
                <w:tab w:val="clear" w:pos="720"/>
                <w:tab w:val="right" w:pos="2988" w:leader="none"/>
              </w:tabs>
              <w:spacing w:lineRule="atLeast" w:line="240"/>
              <w:jc w:val="both"/>
              <w:rPr>
                <w:color w:val="000000"/>
                <w:sz w:val="22"/>
                <w:szCs w:val="22"/>
              </w:rPr>
            </w:pPr>
            <w:r>
              <w:rPr>
                <w:color w:val="000000"/>
                <w:sz w:val="22"/>
                <w:szCs w:val="22"/>
              </w:rPr>
              <w:t>Fax No.:  (713) 646-3422</w:t>
            </w:r>
          </w:p>
        </w:tc>
      </w:tr>
    </w:tbl>
    <w:p>
      <w:pPr>
        <w:pStyle w:val="Normal"/>
        <w:tabs>
          <w:tab w:val="clear" w:pos="720"/>
          <w:tab w:val="left" w:pos="2880" w:leader="none"/>
          <w:tab w:val="left" w:pos="6480" w:leader="none"/>
        </w:tabs>
        <w:spacing w:lineRule="exact" w:line="240"/>
        <w:ind w:start="720" w:end="0"/>
        <w:jc w:val="both"/>
        <w:rPr>
          <w:color w:val="000000"/>
          <w:sz w:val="22"/>
          <w:szCs w:val="22"/>
        </w:rPr>
      </w:pPr>
      <w:r>
        <w:rPr>
          <w:color w:val="000000"/>
          <w:sz w:val="22"/>
          <w:szCs w:val="22"/>
        </w:rPr>
      </w:r>
    </w:p>
    <w:p>
      <w:pPr>
        <w:pStyle w:val="Normal"/>
        <w:spacing w:lineRule="atLeast" w:line="240"/>
        <w:jc w:val="both"/>
        <w:rPr>
          <w:color w:val="000000"/>
          <w:sz w:val="22"/>
          <w:szCs w:val="22"/>
        </w:rPr>
      </w:pPr>
      <w:r>
        <w:rPr>
          <w:color w:val="000000"/>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color w:val="000000"/>
          <w:sz w:val="22"/>
          <w:szCs w:val="22"/>
        </w:rPr>
      </w:pPr>
      <w:r>
        <w:rPr>
          <w:color w:val="000000"/>
          <w:sz w:val="22"/>
          <w:szCs w:val="22"/>
        </w:rPr>
      </w:r>
    </w:p>
    <w:p>
      <w:pPr>
        <w:pStyle w:val="Normal"/>
        <w:spacing w:lineRule="atLeast" w:line="240"/>
        <w:ind w:firstLine="720" w:end="0"/>
        <w:jc w:val="both"/>
        <w:rPr>
          <w:color w:val="000000"/>
          <w:sz w:val="22"/>
          <w:szCs w:val="22"/>
        </w:rPr>
      </w:pPr>
      <w:r>
        <w:rPr>
          <w:color w:val="000000"/>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color w:val="000000"/>
          <w:sz w:val="22"/>
          <w:szCs w:val="22"/>
        </w:rPr>
      </w:pPr>
      <w:r>
        <w:rPr>
          <w:color w:val="000000"/>
          <w:sz w:val="22"/>
          <w:szCs w:val="22"/>
        </w:rPr>
      </w:r>
    </w:p>
    <w:p>
      <w:pPr>
        <w:pStyle w:val="Normal"/>
        <w:spacing w:lineRule="atLeast" w:line="240"/>
        <w:ind w:firstLine="720" w:end="0"/>
        <w:jc w:val="both"/>
        <w:rPr/>
      </w:pPr>
      <w:r>
        <w:rPr>
          <w:b/>
          <w:bCs/>
          <w:color w:val="000000"/>
          <w:sz w:val="22"/>
          <w:szCs w:val="22"/>
        </w:rPr>
        <w:t>Section 12</w:t>
      </w:r>
      <w:r>
        <w:rPr>
          <w:color w:val="000000"/>
          <w:sz w:val="22"/>
          <w:szCs w:val="22"/>
        </w:rPr>
        <w:t xml:space="preserve">.  </w:t>
      </w:r>
      <w:r>
        <w:rPr>
          <w:b/>
          <w:bCs/>
          <w:color w:val="000000"/>
          <w:sz w:val="22"/>
          <w:szCs w:val="22"/>
          <w:u w:val="single"/>
        </w:rPr>
        <w:t>Governing Law and Jurisdiction</w:t>
      </w:r>
      <w:r>
        <w:rPr>
          <w:color w:val="000000"/>
          <w:sz w:val="22"/>
          <w:szCs w:val="22"/>
        </w:rPr>
        <w:t xml:space="preserve">.  This Guaranty shall in all respects be governed by, and construed in accordance with, the law of the State of New York, without regard to principles of conflicts of laws.  </w:t>
      </w:r>
    </w:p>
    <w:p>
      <w:pPr>
        <w:pStyle w:val="Normal"/>
        <w:spacing w:lineRule="atLeast" w:line="240"/>
        <w:ind w:firstLine="720" w:end="0"/>
        <w:jc w:val="both"/>
        <w:rPr>
          <w:color w:val="000000"/>
          <w:sz w:val="22"/>
          <w:szCs w:val="22"/>
        </w:rPr>
      </w:pPr>
      <w:r>
        <w:rPr>
          <w:color w:val="000000"/>
          <w:sz w:val="22"/>
          <w:szCs w:val="22"/>
        </w:rPr>
      </w:r>
    </w:p>
    <w:p>
      <w:pPr>
        <w:pStyle w:val="Normal"/>
        <w:spacing w:lineRule="atLeast" w:line="240"/>
        <w:ind w:firstLine="720" w:end="0"/>
        <w:jc w:val="both"/>
        <w:rPr/>
      </w:pPr>
      <w:r>
        <w:rPr>
          <w:b/>
          <w:bCs/>
          <w:color w:val="000000"/>
          <w:sz w:val="22"/>
          <w:szCs w:val="22"/>
        </w:rPr>
        <w:t xml:space="preserve">Section 13.  </w:t>
      </w:r>
      <w:r>
        <w:rPr>
          <w:b/>
          <w:bCs/>
          <w:color w:val="000000"/>
          <w:sz w:val="22"/>
          <w:szCs w:val="22"/>
          <w:u w:val="single"/>
        </w:rPr>
        <w:t>Entire Agreement</w:t>
      </w:r>
      <w:r>
        <w:rPr>
          <w:color w:val="000000"/>
          <w:sz w:val="22"/>
          <w:szCs w:val="22"/>
        </w:rPr>
        <w:t xml:space="preserve">.  The Guaranty embodies the entire agreement and understanding between Guarantor and Counterparty and supersedes all prior agreements and understandings relating to the subject matter hereof.  </w:t>
      </w:r>
    </w:p>
    <w:p>
      <w:pPr>
        <w:pStyle w:val="Normal"/>
        <w:spacing w:lineRule="atLeast" w:line="240"/>
        <w:ind w:firstLine="720" w:end="0"/>
        <w:jc w:val="both"/>
        <w:rPr>
          <w:color w:val="000000"/>
          <w:sz w:val="22"/>
          <w:szCs w:val="22"/>
        </w:rPr>
      </w:pPr>
      <w:r>
        <w:rPr>
          <w:color w:val="000000"/>
          <w:sz w:val="22"/>
          <w:szCs w:val="22"/>
        </w:rPr>
      </w:r>
    </w:p>
    <w:p>
      <w:pPr>
        <w:pStyle w:val="Normal"/>
        <w:spacing w:lineRule="atLeast" w:line="240"/>
        <w:ind w:firstLine="720" w:end="0"/>
        <w:jc w:val="both"/>
        <w:rPr/>
      </w:pPr>
      <w:r>
        <w:rPr>
          <w:b/>
          <w:bCs/>
          <w:color w:val="000000"/>
          <w:sz w:val="22"/>
          <w:szCs w:val="22"/>
        </w:rPr>
        <w:t xml:space="preserve">Section 14.  </w:t>
      </w:r>
      <w:r>
        <w:rPr>
          <w:b/>
          <w:bCs/>
          <w:color w:val="000000"/>
          <w:sz w:val="22"/>
          <w:szCs w:val="22"/>
          <w:u w:val="single"/>
        </w:rPr>
        <w:t>Amendments</w:t>
      </w:r>
      <w:r>
        <w:rPr>
          <w:color w:val="000000"/>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color w:val="000000"/>
          <w:sz w:val="22"/>
          <w:szCs w:val="22"/>
        </w:rPr>
      </w:pPr>
      <w:r>
        <w:rPr>
          <w:color w:val="000000"/>
          <w:sz w:val="22"/>
          <w:szCs w:val="22"/>
        </w:rPr>
      </w:r>
    </w:p>
    <w:p>
      <w:pPr>
        <w:pStyle w:val="Normal"/>
        <w:spacing w:lineRule="atLeast" w:line="240"/>
        <w:ind w:firstLine="720" w:end="0"/>
        <w:jc w:val="both"/>
        <w:rPr>
          <w:color w:val="000000"/>
          <w:sz w:val="22"/>
          <w:szCs w:val="22"/>
        </w:rPr>
      </w:pPr>
      <w:r>
        <w:rPr>
          <w:color w:val="000000"/>
          <w:sz w:val="22"/>
          <w:szCs w:val="22"/>
        </w:rPr>
        <w:t>IN WITNESS WHEREOF, Guarantor has executed this Guaranty on October ___, 2000, but effective as of the date first above written.</w:t>
      </w:r>
    </w:p>
    <w:p>
      <w:pPr>
        <w:pStyle w:val="Normal"/>
        <w:spacing w:lineRule="atLeast" w:line="240"/>
        <w:ind w:firstLine="720" w:end="0"/>
        <w:jc w:val="both"/>
        <w:rPr>
          <w:color w:val="000000"/>
          <w:sz w:val="22"/>
          <w:szCs w:val="22"/>
        </w:rPr>
      </w:pPr>
      <w:r>
        <w:rPr>
          <w:color w:val="000000"/>
          <w:sz w:val="22"/>
          <w:szCs w:val="22"/>
        </w:rPr>
      </w:r>
    </w:p>
    <w:p>
      <w:pPr>
        <w:pStyle w:val="Normal"/>
        <w:spacing w:lineRule="atLeast" w:line="240"/>
        <w:ind w:start="5040" w:end="0"/>
        <w:jc w:val="both"/>
        <w:rPr>
          <w:b/>
          <w:bCs/>
          <w:color w:val="000000"/>
          <w:sz w:val="22"/>
          <w:szCs w:val="22"/>
        </w:rPr>
      </w:pPr>
      <w:r>
        <w:rPr>
          <w:b/>
          <w:bCs/>
          <w:color w:val="000000"/>
          <w:sz w:val="22"/>
          <w:szCs w:val="22"/>
        </w:rPr>
        <w:t>ENRON CORP.</w:t>
      </w:r>
    </w:p>
    <w:p>
      <w:pPr>
        <w:pStyle w:val="Normal"/>
        <w:spacing w:lineRule="atLeast" w:line="240"/>
        <w:ind w:start="5040" w:end="0"/>
        <w:jc w:val="both"/>
        <w:rPr>
          <w:b/>
          <w:bCs/>
          <w:color w:val="000000"/>
          <w:sz w:val="22"/>
          <w:szCs w:val="22"/>
        </w:rPr>
      </w:pPr>
      <w:r>
        <w:rPr>
          <w:b/>
          <w:bCs/>
          <w:color w:val="000000"/>
          <w:sz w:val="22"/>
          <w:szCs w:val="22"/>
        </w:rPr>
      </w:r>
    </w:p>
    <w:p>
      <w:pPr>
        <w:pStyle w:val="Normal"/>
        <w:spacing w:lineRule="atLeast" w:line="240"/>
        <w:ind w:start="5040" w:end="0"/>
        <w:jc w:val="both"/>
        <w:rPr>
          <w:b/>
          <w:bCs/>
          <w:color w:val="000000"/>
          <w:sz w:val="22"/>
          <w:szCs w:val="22"/>
        </w:rPr>
      </w:pPr>
      <w:r>
        <w:rPr>
          <w:b/>
          <w:bCs/>
          <w:color w:val="000000"/>
          <w:sz w:val="22"/>
          <w:szCs w:val="22"/>
        </w:rPr>
      </w:r>
    </w:p>
    <w:p>
      <w:pPr>
        <w:pStyle w:val="Normal"/>
        <w:spacing w:lineRule="atLeast" w:line="240"/>
        <w:ind w:start="5040" w:end="0"/>
        <w:jc w:val="both"/>
        <w:rPr>
          <w:color w:val="000000"/>
          <w:sz w:val="22"/>
          <w:szCs w:val="22"/>
        </w:rPr>
      </w:pPr>
      <w:r>
        <w:rPr>
          <w:color w:val="000000"/>
          <w:sz w:val="22"/>
          <w:szCs w:val="22"/>
        </w:rPr>
        <w:t xml:space="preserve">By:  </w:t>
      </w:r>
      <w:r>
        <w:rPr>
          <w:color w:val="000000"/>
          <w:sz w:val="22"/>
          <w:szCs w:val="22"/>
          <w:u w:val="single"/>
        </w:rPr>
        <w:tab/>
        <w:tab/>
        <w:tab/>
        <w:tab/>
        <w:tab/>
      </w:r>
    </w:p>
    <w:p>
      <w:pPr>
        <w:pStyle w:val="Normal"/>
        <w:spacing w:lineRule="atLeast" w:line="240"/>
        <w:ind w:start="5040" w:end="0"/>
        <w:jc w:val="both"/>
        <w:rPr>
          <w:color w:val="000000"/>
          <w:sz w:val="22"/>
          <w:szCs w:val="22"/>
        </w:rPr>
      </w:pPr>
      <w:r>
        <w:rPr>
          <w:color w:val="000000"/>
          <w:sz w:val="22"/>
          <w:szCs w:val="22"/>
        </w:rPr>
        <w:t xml:space="preserve">Name:  </w:t>
      </w:r>
      <w:r>
        <w:rPr>
          <w:color w:val="000000"/>
          <w:sz w:val="22"/>
          <w:szCs w:val="22"/>
          <w:u w:val="single"/>
        </w:rPr>
        <w:tab/>
        <w:tab/>
        <w:tab/>
        <w:tab/>
        <w:tab/>
      </w:r>
    </w:p>
    <w:p>
      <w:pPr>
        <w:pStyle w:val="Normal"/>
        <w:spacing w:lineRule="atLeast" w:line="240"/>
        <w:ind w:start="5040" w:end="0"/>
        <w:jc w:val="both"/>
        <w:rPr>
          <w:color w:val="000000"/>
          <w:sz w:val="22"/>
          <w:szCs w:val="22"/>
        </w:rPr>
      </w:pPr>
      <w:r>
        <w:rPr>
          <w:color w:val="000000"/>
          <w:sz w:val="22"/>
          <w:szCs w:val="22"/>
        </w:rPr>
        <w:t xml:space="preserve">Title:  </w:t>
      </w:r>
      <w:r>
        <w:rPr>
          <w:color w:val="000000"/>
          <w:sz w:val="22"/>
          <w:szCs w:val="22"/>
          <w:u w:val="single"/>
        </w:rPr>
        <w:tab/>
        <w:tab/>
        <w:tab/>
        <w:tab/>
        <w:tab/>
      </w:r>
    </w:p>
    <w:p>
      <w:pPr>
        <w:pStyle w:val="Normal"/>
        <w:rPr>
          <w:color w:val="000000"/>
          <w:sz w:val="22"/>
          <w:szCs w:val="22"/>
        </w:rPr>
      </w:pPr>
      <w:r>
        <w:rPr>
          <w:color w:val="000000"/>
          <w:sz w:val="22"/>
          <w:szCs w:val="22"/>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rStyle w:val="PageNumber"/>
        <w:sz w:val="16"/>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/mnt/main-storage/datasets/enron-docs/doc/HQ___Enron_Guaranty-c50d4ca948dba1347a76578293815b23dac8df8514cec4d8dc1d5123034c5717.doc</w:t>
    </w:r>
    <w:r>
      <w:rPr>
        <w:rStyle w:val="PageNumber"/>
        <w:sz w:val="16"/>
      </w:rPr>
      <w:fldChar w:fldCharType="end"/>
    </w:r>
  </w:p>
  <w:p>
    <w:pPr>
      <w:pStyle w:val="Footer"/>
      <w:jc w:val="both"/>
      <w:rPr>
        <w:rStyle w:val="PageNumber"/>
        <w:sz w:val="16"/>
      </w:rPr>
    </w:pPr>
    <w:r>
      <w:rPr/>
    </w:r>
  </w:p>
  <w:p>
    <w:pPr>
      <w:pStyle w:val="Footer"/>
      <w:jc w:val="center"/>
      <w:rPr/>
    </w:pPr>
    <w:r>
      <w:rPr>
        <w:rStyle w:val="PageNumbe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4</w:t>
    </w:r>
    <w:r>
      <w:rPr>
        <w:rStyle w:val="PageNumber"/>
        <w:sz w:val="22"/>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ind w:hanging="0" w:start="720" w:end="0"/>
    </w:pPr>
    <w:rPr>
      <w:color w:val="000000"/>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2000-10-16T18:42:00Z</dcterms:created>
  <dc:creator>mcook</dc:creator>
  <dc:description/>
  <dc:language>en-CA</dc:language>
  <cp:lastModifiedBy>tjones</cp:lastModifiedBy>
  <cp:lastPrinted>2000-10-18T11:30:00Z</cp:lastPrinted>
  <dcterms:modified xsi:type="dcterms:W3CDTF">2000-10-19T16:38:00Z</dcterms:modified>
  <cp:revision>48</cp:revision>
  <dc:subject/>
  <dc:title>EXHIBIT A</dc:title>
</cp:coreProperties>
</file>