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hanging="0" w:end="0"/>
        <w:rPr/>
      </w:pPr>
      <w:r>
        <w:rPr/>
        <w:t xml:space="preserve">article </w:t>
      </w:r>
      <w:r>
        <w:rPr/>
        <w:fldChar w:fldCharType="begin"/>
      </w:r>
      <w:r>
        <w:rPr/>
        <w:instrText xml:space="preserve"> SEQ AutoNr \* ARABIC </w:instrText>
      </w:r>
      <w:r>
        <w:rPr/>
        <w:fldChar w:fldCharType="separate"/>
      </w:r>
      <w:r>
        <w:rPr/>
        <w:t>1</w:t>
      </w:r>
      <w:r>
        <w:rPr/>
        <w:fldChar w:fldCharType="end"/>
      </w:r>
      <w:r>
        <w:rPr/>
        <w:t xml:space="preserve">  PRESSURE AND QUALITY</w:t>
      </w:r>
    </w:p>
    <w:p>
      <w:pPr>
        <w:pStyle w:val="Heading2"/>
        <w:rPr/>
      </w:pPr>
      <w:r>
        <w:rPr/>
        <w:fldChar w:fldCharType="begin"/>
      </w:r>
      <w:r>
        <w:rPr/>
        <w:instrText xml:space="preserve"> SEQ AutoNr \* ARABIC </w:instrText>
      </w:r>
      <w:r>
        <w:rPr/>
        <w:fldChar w:fldCharType="separate"/>
      </w:r>
      <w:r>
        <w:rPr/>
        <w:t>2</w:t>
      </w:r>
      <w:r>
        <w:rPr/>
        <w:fldChar w:fldCharType="end"/>
      </w:r>
      <w:r>
        <w:rPr/>
        <w:tab/>
      </w:r>
      <w:r>
        <w:rPr>
          <w:u w:val="single"/>
        </w:rPr>
        <w:t>Pressures</w:t>
      </w:r>
      <w:r>
        <w:rPr/>
        <w:t>.  The Gas delivered by Shipper to the Receipt Points hereunder shall be delivered at a pressure sufficient to overcome the operating pressure existing in Transporter's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Transporter may, at Shipper's sole cost and expense, install such overpressure protection facilities (either upstream or downstream of the metering facilities, as Transporter may elect) in order to ensure compliance with applicable laws and regulations.  The Gas delivered by Transporter to the Delivery Points shall be delivered at the pressure existing in Transporter's facilities from time to time.</w:t>
      </w:r>
    </w:p>
    <w:p>
      <w:pPr>
        <w:pStyle w:val="Heading2"/>
        <w:keepNext w:val="true"/>
        <w:rPr/>
      </w:pPr>
      <w:r>
        <w:rPr/>
        <w:fldChar w:fldCharType="begin"/>
      </w:r>
      <w:r>
        <w:rPr/>
        <w:instrText xml:space="preserve"> SEQ AutoNr \* ARABIC </w:instrText>
      </w:r>
      <w:r>
        <w:rPr/>
        <w:fldChar w:fldCharType="separate"/>
      </w:r>
      <w:r>
        <w:rPr/>
        <w:t>3</w:t>
      </w:r>
      <w:r>
        <w:rPr/>
        <w:fldChar w:fldCharType="end"/>
      </w:r>
      <w:r>
        <w:rPr/>
        <w:tab/>
      </w:r>
      <w:r>
        <w:rPr>
          <w:u w:val="single"/>
        </w:rPr>
        <w:t>Quality</w:t>
      </w:r>
      <w:r>
        <w:rPr/>
        <w:t>.  Shipper agrees that all Gas received by Transporter for Shipper's account hereunder and Transporter agrees that all Gas delivered by it hereunder shall be merchantable Gas which (unless and until Transporter modifies its general system-wide quality specifications) shall:</w:t>
      </w:r>
    </w:p>
    <w:p>
      <w:pPr>
        <w:pStyle w:val="Normal"/>
        <w:spacing w:before="0" w:after="120"/>
        <w:ind w:hanging="720" w:start="1440" w:end="720"/>
        <w:rPr/>
      </w:pPr>
      <w:r>
        <w:rPr/>
        <w:t>(a)</w:t>
        <w:tab/>
        <w:t>Have a total heating value of not less than nine hundred fifty (950) British Thermal Units per cubic foot when saturated with wator vapor (gross basis);</w:t>
      </w:r>
    </w:p>
    <w:p>
      <w:pPr>
        <w:pStyle w:val="Norma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spacing w:before="0" w:after="120"/>
        <w:ind w:hanging="720" w:start="1440" w:end="720"/>
        <w:rPr/>
      </w:pPr>
      <w:r>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spacing w:before="0" w:after="120"/>
        <w:ind w:hanging="720" w:start="1440" w:end="720"/>
        <w:rPr/>
      </w:pPr>
      <w:r>
        <w:rPr/>
        <w:t>(d)</w:t>
        <w:tab/>
        <w:t>Contain no more than two percent (2%) by volume of carbon dioxide, two tenths of one percent (0.2%) by volume of oxygen, and three percent (3%) by volume of total inerts;</w:t>
      </w:r>
    </w:p>
    <w:p>
      <w:pPr>
        <w:pStyle w:val="Normal"/>
        <w:spacing w:before="0" w:after="120"/>
        <w:ind w:hanging="720" w:start="1440" w:end="720"/>
        <w:rPr/>
      </w:pPr>
      <w:r>
        <w:rPr/>
        <w:t>(e)</w:t>
        <w:tab/>
        <w:t>Have a temperature of not more than one hundred twenty degrees Fahrenheit (120</w:t>
      </w:r>
      <w:r>
        <w:rPr>
          <w:rFonts w:eastAsia="Symbol" w:cs="Symbol" w:ascii="Symbol" w:hAnsi="Symbol"/>
        </w:rPr>
        <w:sym w:font="Symbol" w:char="f0b0"/>
      </w:r>
      <w:r>
        <w:rPr/>
        <w:t>F.) or less than forty degrees Fahrenheit (40</w:t>
      </w:r>
      <w:r>
        <w:rPr>
          <w:rFonts w:eastAsia="Symbol" w:cs="Symbol" w:ascii="Symbol" w:hAnsi="Symbol"/>
        </w:rPr>
        <w:sym w:font="Symbol" w:char="f0b0"/>
      </w:r>
      <w:r>
        <w:rPr/>
        <w:t>F.);</w:t>
      </w:r>
    </w:p>
    <w:p>
      <w:pPr>
        <w:pStyle w:val="Normal"/>
        <w:spacing w:before="0" w:after="120"/>
        <w:ind w:hanging="720" w:start="1440" w:end="720"/>
        <w:rPr/>
      </w:pPr>
      <w:r>
        <w:rPr/>
        <w:t>(f)</w:t>
        <w:tab/>
        <w:t>Not contain more than seven (7) pounds of entrained water vapor per million cubic feet; and</w:t>
      </w:r>
    </w:p>
    <w:p>
      <w:pPr>
        <w:pStyle w:val="Normal"/>
        <w:spacing w:before="0" w:after="120"/>
        <w:ind w:hanging="720" w:start="1440" w:end="720"/>
        <w:rPr/>
      </w:pPr>
      <w:r>
        <w:rPr/>
        <w:t>(g)</w:t>
        <w:tab/>
        <w:t>Have a hydrocarbon dewpoint of 45°F or less at pipeline operating pressures between 200 psig and 1100 psig.</w:t>
      </w:r>
    </w:p>
    <w:p>
      <w:pPr>
        <w:pStyle w:val="Normal"/>
        <w:spacing w:before="0" w:after="120"/>
        <w:rPr/>
      </w:pPr>
      <w:r>
        <w:rPr/>
        <w:t>Should the Gas delivered to either Party fail to meet the quality specifications above (or as they may be subsequently modified), either Party shall notify the other and the Party responsible for the deficiency shall make a diligent effort to correct such failure.  The Party receiving the non-conforming Gas shall have the right to refuse to accept all or any portion of such non-conforming Gas.  Should either Party's tender of non-conforming Gas hereunder extend for a period greater than 60 Days, the receiving Party shall have the right and option at the end of 60 Days, and as long thereafter as the other Party continues to tender such non-conforming Gas, to cancel this Agreement on 24 hours advance written notice to the other Party stating the date of termination.  In no event shall Transporter’s refusal to accept non-conforming Gas relieve Shipper of its obligation to pay any Demand Charge payable hereunder.</w:t>
      </w:r>
    </w:p>
    <w:p>
      <w:pPr>
        <w:pStyle w:val="Normal"/>
        <w:rPr/>
      </w:pPr>
      <w:r>
        <w:rPr/>
        <w:fldChar w:fldCharType="begin"/>
      </w:r>
      <w:r>
        <w:rPr/>
        <w:instrText xml:space="preserve"> SEQ AutoNr \* ARABIC </w:instrText>
      </w:r>
      <w:r>
        <w:rPr/>
        <w:fldChar w:fldCharType="separate"/>
      </w:r>
      <w:r>
        <w:rPr/>
        <w:t>4</w:t>
      </w:r>
      <w:r>
        <w:rPr/>
        <w:fldChar w:fldCharType="end"/>
      </w:r>
      <w:r>
        <w:rPr/>
        <w:tab/>
      </w:r>
      <w:r>
        <w:rPr>
          <w:u w:val="single"/>
        </w:rPr>
        <w:t>Odorization</w:t>
      </w:r>
      <w:r>
        <w:rPr/>
        <w:t>.  Shipper shall be responsible for odorizing any part of the Gas delivered hereunder to or for Shipper's account which is diverted and/or used by Shipper for any purpose for which odorization is required pursuant to applicable governmental regulations.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overflowPunct w:val="false"/>
      <w:autoSpaceDE w:val="false"/>
      <w:spacing w:lineRule="atLeast" w:line="240" w:before="240" w:after="240"/>
      <w:ind w:firstLine="720" w:start="0" w:end="0"/>
      <w:jc w:val="center"/>
      <w:textAlignment w:val="baseline"/>
      <w:outlineLvl w:val="0"/>
    </w:pPr>
    <w:rPr>
      <w:b/>
      <w:caps/>
      <w:sz w:val="26"/>
      <w:szCs w:val="20"/>
    </w:rPr>
  </w:style>
  <w:style w:type="paragraph" w:styleId="Heading2">
    <w:name w:val="heading 2"/>
    <w:basedOn w:val="Normal"/>
    <w:next w:val="Normal"/>
    <w:qFormat/>
    <w:pPr>
      <w:numPr>
        <w:ilvl w:val="1"/>
        <w:numId w:val="1"/>
      </w:numPr>
      <w:overflowPunct w:val="false"/>
      <w:autoSpaceDE w:val="false"/>
      <w:spacing w:lineRule="atLeast" w:line="240" w:before="0" w:after="120"/>
      <w:ind w:firstLine="720" w:start="0" w:end="0"/>
      <w:jc w:val="both"/>
      <w:textAlignment w:val="baseline"/>
      <w:outlineLvl w:val="1"/>
    </w:pPr>
    <w:rPr>
      <w:sz w:val="26"/>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2000-12-13T13:37:00Z</dcterms:created>
  <dc:creator>dhyvl</dc:creator>
  <dc:description/>
  <dc:language>en-CA</dc:language>
  <cp:lastModifiedBy>dhyvl</cp:lastModifiedBy>
  <dcterms:modified xsi:type="dcterms:W3CDTF">2000-12-13T13:38:00Z</dcterms:modified>
  <cp:revision>1</cp:revision>
  <dc:subject/>
  <dc:title>ARTICLE 1</dc:title>
</cp:coreProperties>
</file>