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HPL Ideas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2"/>
        <w:rPr/>
      </w:pPr>
      <w:r>
        <w:rPr/>
        <w:t>1.  Enron will purchase 100,000/d of HPL firm transportation from various major supply areas on the   system to major market areas for a period of ten years.  Buyer will notify seller by 9:30 AM each day as to how much transportation will be utilized for the next day.  Below are the commodity based rates and paths associated with the 100,000/d transportation.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-   $.05 rate for 25,000/d Thompsonville to HSC Pool (including Bammel).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-   $.05 rate for 25,000/d Agua Dulce to HSC E Pool (including Tenn Sabine, Centanna).</w:t>
      </w:r>
    </w:p>
    <w:p>
      <w:pPr>
        <w:pStyle w:val="Normal"/>
        <w:ind w:start="720" w:end="0"/>
        <w:rPr/>
      </w:pPr>
      <w:r>
        <w:rPr/>
      </w:r>
    </w:p>
    <w:p>
      <w:pPr>
        <w:pStyle w:val="BodyTextIndent"/>
        <w:rPr/>
      </w:pPr>
      <w:r>
        <w:rPr/>
        <w:t>-   $01 rate for 25,000/d Katy (including Devers, Enerfin, Mt. Belview) to HSC Pool            (including Bammel, Transco).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-   $.02 rate for 25,000/d Texoma (including Centana) to HSC E Pool (Tenn Sabine, Centana)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 will purchase 50,000/d of Katy supply (25,000/d Oasis and 25,000/d Lonestar) at IFGMR HSC index less $.025 for a period of ten years.  Enron will have the right to receive the gas at Katy or the Waha Header on a daily basis with notification by 9:30 AM.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Enron will purchase 25,000/d of Thompsonville supply at IFGMR HSC index less $.07 and purchase 25,000/d of Texoma supply at IFGMR HSC index less $.045 for a period of 10 years.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80" w:start="90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0" w:leader="none"/>
      </w:tabs>
      <w:ind w:hanging="0" w:start="9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2000-10-05T09:05:00Z</dcterms:created>
  <dc:creator>tmartin</dc:creator>
  <dc:description/>
  <dc:language>en-CA</dc:language>
  <cp:lastModifiedBy>tmartin</cp:lastModifiedBy>
  <dcterms:modified xsi:type="dcterms:W3CDTF">2000-10-05T16:19:00Z</dcterms:modified>
  <cp:revision>6</cp:revision>
  <dc:subject/>
  <dc:title/>
</cp:coreProperties>
</file>