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HOUSTON PIPE LINE COMPANY ("HPL")</w:t>
      </w:r>
    </w:p>
    <w:p>
      <w:pPr>
        <w:pStyle w:val="Normal"/>
        <w:jc w:val="center"/>
        <w:rPr>
          <w:rFonts w:ascii="Arial" w:hAnsi="Arial" w:cs="Arial"/>
          <w:b/>
          <w:sz w:val="20"/>
        </w:rPr>
      </w:pPr>
      <w:r>
        <w:rPr>
          <w:rFonts w:cs="Arial" w:ascii="Arial" w:hAnsi="Arial"/>
          <w:b/>
          <w:sz w:val="20"/>
        </w:rPr>
        <w:t xml:space="preserve">"SPOT" GENERAL TERMS &amp; CONDITIONS ("GTC") </w:t>
      </w:r>
    </w:p>
    <w:p>
      <w:pPr>
        <w:pStyle w:val="Normal"/>
        <w:jc w:val="both"/>
        <w:rPr/>
      </w:pPr>
      <w:r>
        <w:rPr>
          <w:rFonts w:cs="Arial" w:ascii="Arial" w:hAnsi="Arial"/>
          <w:b/>
          <w:sz w:val="20"/>
          <w:u w:val="single"/>
        </w:rPr>
        <w:t>1. Transactions</w:t>
      </w:r>
      <w:r>
        <w:rPr>
          <w:rFonts w:cs="Arial" w:ascii="Arial" w:hAnsi="Arial"/>
          <w:sz w:val="20"/>
        </w:rPr>
        <w:t>. The parties shall engage in transactions ("Transaction") in accordance with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Houston Pipe Line Company ("HPL"). All Transactions between the parties shall be considered a single integrated agreement governed by this GTC. This GTC, each Transaction and the rights and duties of the parties arising herefrom shall be governed by the laws of Texas. 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u w:val="single"/>
        </w:rPr>
        <w:t>10. Warranties</w:t>
      </w:r>
      <w:r>
        <w:rPr>
          <w:rFonts w:cs="Arial" w:ascii="Arial" w:hAnsi="Arial"/>
          <w:sz w:val="20"/>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spacing w:before="100" w:after="100"/>
        <w:jc w:val="both"/>
        <w:rPr/>
      </w:pPr>
      <w:r>
        <w:rPr>
          <w:rFonts w:cs="Arial" w:ascii="Arial" w:hAnsi="Arial"/>
          <w:b/>
          <w:sz w:val="20"/>
          <w:u w:val="single"/>
        </w:rPr>
        <w:t>11.  Collateral Arrangements.</w:t>
      </w:r>
      <w:r>
        <w:rPr>
          <w:rFonts w:cs="Arial" w:ascii="Arial" w:hAnsi="Arial"/>
          <w:b/>
          <w:sz w:val="20"/>
        </w:rPr>
        <w:t xml:space="preserve"> </w:t>
      </w:r>
      <w:r>
        <w:rPr>
          <w:rFonts w:cs="Arial" w:ascii="Arial" w:hAnsi="Arial"/>
          <w:sz w:val="20"/>
        </w:rPr>
        <w:t>Counterparty shall (at HPL’s request) either: (i) within one Business Day of such request by HPL, provide to HPL a letter of credit in respect of Counterparty's obligations under any Transaction, in such form and for such amount and from such issuer, as is acceptable to HPL in its absolute discretion; or (ii) within such period as is specified by HPL, provide for the benefit of HPL a parent company guarantee in such form and for such amount as is acceptable to HPL in its absolute discretion. Failure so to provide such letter of credit or parent company guaranty shall constitute a default hereunder giving rise to the immediate right of termination by HPL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1999-09-01T08:22:00Z</dcterms:created>
  <dc:creator>NEdmonds</dc:creator>
  <dc:description/>
  <dc:language>en-CA</dc:language>
  <cp:lastModifiedBy>NEdmonds</cp:lastModifiedBy>
  <dcterms:modified xsi:type="dcterms:W3CDTF">1999-09-01T08:22:00Z</dcterms:modified>
  <cp:revision>2</cp:revision>
  <dc:subject/>
  <dc:title>ENFOLIO® "SPOT"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