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t>Version 1 - August 10, 1999</w:t>
      </w:r>
    </w:p>
    <w:p>
      <w:pPr>
        <w:pStyle w:val="Normal"/>
        <w:jc w:val="center"/>
        <w:rPr>
          <w:rFonts w:ascii="Arial" w:hAnsi="Arial" w:cs="Arial"/>
          <w:b/>
          <w:sz w:val="20"/>
        </w:rPr>
      </w:pPr>
      <w:r>
        <w:rPr>
          <w:rFonts w:cs="Arial" w:ascii="Arial" w:hAnsi="Arial"/>
          <w:b/>
          <w:sz w:val="20"/>
        </w:rPr>
        <w:t>HOUSTON PIPE LINE COMPANY ("HPL")</w:t>
      </w:r>
    </w:p>
    <w:p>
      <w:pPr>
        <w:pStyle w:val="Normal"/>
        <w:jc w:val="center"/>
        <w:rPr>
          <w:rFonts w:ascii="Arial" w:hAnsi="Arial" w:cs="Arial"/>
          <w:b/>
          <w:sz w:val="20"/>
        </w:rPr>
      </w:pPr>
      <w:r>
        <w:rPr>
          <w:rFonts w:cs="Arial" w:ascii="Arial" w:hAnsi="Arial"/>
          <w:b/>
          <w:sz w:val="20"/>
        </w:rPr>
        <w:t xml:space="preserve">"SPOT" GENERAL TERMS &amp; CONDITIONS ("GTC") </w:t>
      </w:r>
    </w:p>
    <w:p>
      <w:pPr>
        <w:pStyle w:val="Normal"/>
        <w:jc w:val="both"/>
        <w:rPr/>
      </w:pPr>
      <w:r>
        <w:rPr>
          <w:rFonts w:cs="Arial" w:ascii="Arial" w:hAnsi="Arial"/>
          <w:b/>
          <w:sz w:val="20"/>
          <w:u w:val="single"/>
        </w:rPr>
        <w:t>1. Transactions</w:t>
      </w:r>
      <w:r>
        <w:rPr>
          <w:rFonts w:cs="Arial" w:ascii="Arial" w:hAnsi="Arial"/>
          <w:sz w:val="20"/>
        </w:rPr>
        <w:t>. The parties shall engage in transactions ("Transaction") in accordance with these terms and conditions (this "</w:t>
      </w:r>
      <w:r>
        <w:rPr>
          <w:rFonts w:cs="Arial" w:ascii="Arial" w:hAnsi="Arial"/>
          <w:sz w:val="20"/>
          <w:u w:val="single"/>
        </w:rPr>
        <w:t>GTC</w:t>
      </w:r>
      <w:r>
        <w:rPr>
          <w:rFonts w:cs="Arial" w:ascii="Arial" w:hAnsi="Arial"/>
          <w:sz w:val="20"/>
        </w:rPr>
        <w:t xml:space="preserve">") and the terms, set forth in the website referencing this GTC, submitted by Counterparty and accepted by Houston Pipe Line Company ("HPL"). All Transactions between the parties shall be considered a single integrated agreement governed by this GTC. This GTC, each Transaction and the rights and duties of the parties arising herefrom shall be governed by the laws of Texas. The </w:t>
      </w:r>
      <w:r>
        <w:rPr>
          <w:rFonts w:cs="Arial" w:ascii="Arial" w:hAnsi="Arial"/>
          <w:b/>
          <w:sz w:val="20"/>
        </w:rPr>
        <w:t>DCQ</w:t>
      </w:r>
      <w:r>
        <w:rPr>
          <w:rFonts w:cs="Arial" w:ascii="Arial" w:hAnsi="Arial"/>
          <w:sz w:val="20"/>
        </w:rPr>
        <w:t xml:space="preserve"> shall be scheduled by </w:t>
      </w:r>
      <w:r>
        <w:rPr>
          <w:rFonts w:cs="Arial" w:ascii="Arial" w:hAnsi="Arial"/>
          <w:b/>
          <w:sz w:val="20"/>
        </w:rPr>
        <w:t xml:space="preserve">Seller </w:t>
      </w:r>
      <w:r>
        <w:rPr>
          <w:rFonts w:cs="Arial" w:ascii="Arial" w:hAnsi="Arial"/>
          <w:sz w:val="20"/>
        </w:rPr>
        <w:t xml:space="preserve">and </w:t>
      </w:r>
      <w:r>
        <w:rPr>
          <w:rFonts w:cs="Arial" w:ascii="Arial" w:hAnsi="Arial"/>
          <w:b/>
          <w:sz w:val="20"/>
        </w:rPr>
        <w:t xml:space="preserve">Buyer </w:t>
      </w:r>
      <w:r>
        <w:rPr>
          <w:rFonts w:cs="Arial" w:ascii="Arial" w:hAnsi="Arial"/>
          <w:sz w:val="20"/>
        </w:rPr>
        <w:t xml:space="preserve">at the </w:t>
      </w:r>
      <w:r>
        <w:rPr>
          <w:rFonts w:cs="Arial" w:ascii="Arial" w:hAnsi="Arial"/>
          <w:b/>
          <w:sz w:val="20"/>
        </w:rPr>
        <w:t>Delivery Point(s)</w:t>
      </w:r>
      <w:r>
        <w:rPr>
          <w:rFonts w:cs="Arial" w:ascii="Arial" w:hAnsi="Arial"/>
          <w:sz w:val="20"/>
        </w:rPr>
        <w:t xml:space="preserve"> during the </w:t>
      </w:r>
      <w:r>
        <w:rPr>
          <w:rFonts w:cs="Arial" w:ascii="Arial" w:hAnsi="Arial"/>
          <w:b/>
          <w:sz w:val="20"/>
        </w:rPr>
        <w:t>Period of Delivery</w:t>
      </w:r>
      <w:r>
        <w:rPr>
          <w:rFonts w:cs="Arial" w:ascii="Arial" w:hAnsi="Arial"/>
          <w:sz w:val="20"/>
        </w:rPr>
        <w:t xml:space="preserve"> and at the </w:t>
      </w:r>
      <w:r>
        <w:rPr>
          <w:rFonts w:cs="Arial" w:ascii="Arial" w:hAnsi="Arial"/>
          <w:b/>
          <w:sz w:val="20"/>
        </w:rPr>
        <w:t xml:space="preserve">Contract Price </w:t>
      </w:r>
      <w:r>
        <w:rPr>
          <w:rFonts w:cs="Arial" w:ascii="Arial" w:hAnsi="Arial"/>
          <w:sz w:val="20"/>
        </w:rPr>
        <w:t>as provided in each Transaction. Each Transaction shall indicate the "</w:t>
      </w:r>
      <w:r>
        <w:rPr>
          <w:rFonts w:cs="Arial" w:ascii="Arial" w:hAnsi="Arial"/>
          <w:sz w:val="20"/>
          <w:u w:val="single"/>
        </w:rPr>
        <w:t>Tier</w:t>
      </w:r>
      <w:r>
        <w:rPr>
          <w:rFonts w:cs="Arial" w:ascii="Arial" w:hAnsi="Arial"/>
          <w:sz w:val="20"/>
        </w:rPr>
        <w:t>" of gas applicable to the DCQ during the Period of Delivery:</w:t>
      </w:r>
    </w:p>
    <w:p>
      <w:pPr>
        <w:pStyle w:val="Normal"/>
        <w:jc w:val="both"/>
        <w:rPr/>
      </w:pPr>
      <w:r>
        <w:rPr>
          <w:rFonts w:cs="Arial" w:ascii="Arial" w:hAnsi="Arial"/>
          <w:sz w:val="20"/>
        </w:rPr>
        <w:t>"</w:t>
      </w:r>
      <w:r>
        <w:rPr>
          <w:rFonts w:cs="Arial" w:ascii="Arial" w:hAnsi="Arial"/>
          <w:b/>
          <w:sz w:val="20"/>
          <w:u w:val="single"/>
        </w:rPr>
        <w:t>Interruptible Gas</w:t>
      </w:r>
      <w:r>
        <w:rPr>
          <w:rFonts w:cs="Arial" w:ascii="Arial" w:hAnsi="Arial"/>
          <w:sz w:val="20"/>
        </w:rPr>
        <w:t>"--subject hereto, both parties may without liability interrupt, in whole or in part, scheduling the DCQ in accordance with the provisions hereof for any reason; or "</w:t>
      </w:r>
      <w:r>
        <w:rPr>
          <w:rFonts w:cs="Arial" w:ascii="Arial" w:hAnsi="Arial"/>
          <w:b/>
          <w:sz w:val="20"/>
          <w:u w:val="single"/>
        </w:rPr>
        <w:t>Firm Gas</w:t>
      </w:r>
      <w:r>
        <w:rPr>
          <w:rFonts w:cs="Arial" w:ascii="Arial" w:hAnsi="Arial"/>
          <w:sz w:val="20"/>
        </w:rPr>
        <w:t xml:space="preserve">"--subject hereto, both parties are firmly obligated to schedule the DCQ for a period less than or equal to one month. </w:t>
      </w:r>
    </w:p>
    <w:p>
      <w:pPr>
        <w:pStyle w:val="Normal"/>
        <w:jc w:val="both"/>
        <w:rPr/>
      </w:pPr>
      <w:r>
        <w:rPr>
          <w:rFonts w:cs="Arial" w:ascii="Arial" w:hAnsi="Arial"/>
          <w:b/>
          <w:sz w:val="20"/>
          <w:u w:val="single"/>
        </w:rPr>
        <w:t>2. Quantity Obligations</w:t>
      </w:r>
      <w:r>
        <w:rPr>
          <w:rFonts w:cs="Arial" w:ascii="Arial" w:hAnsi="Arial"/>
          <w:sz w:val="20"/>
        </w:rPr>
        <w:t>.</w:t>
      </w:r>
      <w:r>
        <w:rPr>
          <w:rFonts w:cs="Arial" w:ascii="Arial" w:hAnsi="Arial"/>
          <w:b/>
          <w:sz w:val="20"/>
        </w:rPr>
        <w:t xml:space="preserve"> </w:t>
      </w:r>
    </w:p>
    <w:p>
      <w:pPr>
        <w:pStyle w:val="Normal"/>
        <w:jc w:val="both"/>
        <w:rPr/>
      </w:pPr>
      <w:r>
        <w:rPr>
          <w:rFonts w:cs="Arial" w:ascii="Arial" w:hAnsi="Arial"/>
          <w:b/>
          <w:sz w:val="20"/>
          <w:u w:val="single"/>
        </w:rPr>
        <w:t>2.1. Tier 1 Interruptible Gas</w:t>
      </w:r>
      <w:r>
        <w:rPr>
          <w:rFonts w:cs="Arial" w:ascii="Arial" w:hAnsi="Arial"/>
          <w:sz w:val="20"/>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 </w:t>
      </w:r>
    </w:p>
    <w:p>
      <w:pPr>
        <w:pStyle w:val="Normal"/>
        <w:jc w:val="both"/>
        <w:rPr/>
      </w:pPr>
      <w:r>
        <w:rPr>
          <w:rFonts w:cs="Arial" w:ascii="Arial" w:hAnsi="Arial"/>
          <w:b/>
          <w:sz w:val="20"/>
          <w:u w:val="single"/>
        </w:rPr>
        <w:t>2.2. Interruption Without Notice</w:t>
      </w:r>
      <w:r>
        <w:rPr>
          <w:rFonts w:cs="Arial" w:ascii="Arial" w:hAnsi="Arial"/>
          <w:b/>
          <w:sz w:val="20"/>
        </w:rPr>
        <w:t xml:space="preserve"> </w:t>
      </w:r>
      <w:r>
        <w:rPr>
          <w:rFonts w:cs="Arial" w:ascii="Arial" w:hAnsi="Arial"/>
          <w:sz w:val="20"/>
        </w:rPr>
        <w:t xml:space="preserve">Should an interruption occur without the required notice, the interrupting party shall be liable for and pay all associated penalties and cashout costs and losses charged by either transporter. </w:t>
      </w:r>
    </w:p>
    <w:p>
      <w:pPr>
        <w:pStyle w:val="Normal"/>
        <w:jc w:val="both"/>
        <w:rPr/>
      </w:pPr>
      <w:r>
        <w:rPr>
          <w:rFonts w:cs="Arial" w:ascii="Arial" w:hAnsi="Arial"/>
          <w:b/>
          <w:sz w:val="20"/>
          <w:u w:val="single"/>
        </w:rPr>
        <w:t>2.3. Tier 3 Firm Gas</w:t>
      </w:r>
      <w:r>
        <w:rPr>
          <w:rFonts w:cs="Arial" w:ascii="Arial" w:hAnsi="Arial"/>
          <w:sz w:val="20"/>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sz w:val="20"/>
          <w:u w:val="single"/>
        </w:rPr>
        <w:t>Seller's Deficiency Default</w:t>
      </w:r>
      <w:r>
        <w:rPr>
          <w:rFonts w:cs="Arial" w:ascii="Arial" w:hAnsi="Arial"/>
          <w:sz w:val="20"/>
        </w:rPr>
        <w:t>" and "</w:t>
      </w:r>
      <w:r>
        <w:rPr>
          <w:rFonts w:cs="Arial" w:ascii="Arial" w:hAnsi="Arial"/>
          <w:sz w:val="20"/>
          <w:u w:val="single"/>
        </w:rPr>
        <w:t>Seller's Deficiency Quantity</w:t>
      </w:r>
      <w:r>
        <w:rPr>
          <w:rFonts w:cs="Arial" w:ascii="Arial" w:hAnsi="Arial"/>
          <w:sz w:val="20"/>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sz w:val="20"/>
          <w:u w:val="single"/>
        </w:rPr>
        <w:t>Buyer's Deficiency Default</w:t>
      </w:r>
      <w:r>
        <w:rPr>
          <w:rFonts w:cs="Arial" w:ascii="Arial" w:hAnsi="Arial"/>
          <w:sz w:val="20"/>
        </w:rPr>
        <w:t>" and "</w:t>
      </w:r>
      <w:r>
        <w:rPr>
          <w:rFonts w:cs="Arial" w:ascii="Arial" w:hAnsi="Arial"/>
          <w:sz w:val="20"/>
          <w:u w:val="single"/>
        </w:rPr>
        <w:t>Buyer's Deficiency Quantity</w:t>
      </w:r>
      <w:r>
        <w:rPr>
          <w:rFonts w:cs="Arial" w:ascii="Arial" w:hAnsi="Arial"/>
          <w:sz w:val="20"/>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sz w:val="20"/>
          <w:u w:val="single"/>
        </w:rPr>
        <w:t>Replacement Price Differential</w:t>
      </w:r>
      <w:r>
        <w:rPr>
          <w:rFonts w:cs="Arial" w:ascii="Arial" w:hAnsi="Arial"/>
          <w:sz w:val="20"/>
        </w:rPr>
        <w:t xml:space="preserve">" means (i) in the event of a Seller's Deficiency Default, the positive difference, if any, obtained by subtracting the Contract Price </w:t>
      </w:r>
      <w:r>
        <w:rPr>
          <w:rFonts w:cs="Arial" w:ascii="Arial" w:hAnsi="Arial"/>
          <w:sz w:val="20"/>
          <w:u w:val="single"/>
        </w:rPr>
        <w:t>from</w:t>
      </w:r>
      <w:r>
        <w:rPr>
          <w:rFonts w:cs="Arial" w:ascii="Arial" w:hAnsi="Arial"/>
          <w:sz w:val="20"/>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sz w:val="20"/>
          <w:u w:val="single"/>
        </w:rPr>
        <w:t>from</w:t>
      </w:r>
      <w:r>
        <w:rPr>
          <w:rFonts w:cs="Arial" w:ascii="Arial" w:hAnsi="Arial"/>
          <w:sz w:val="20"/>
        </w:rPr>
        <w:t xml:space="preserve"> the Contract Price. "</w:t>
      </w:r>
      <w:r>
        <w:rPr>
          <w:rFonts w:cs="Arial" w:ascii="Arial" w:hAnsi="Arial"/>
          <w:sz w:val="20"/>
          <w:u w:val="single"/>
        </w:rPr>
        <w:t>Spot Price</w:t>
      </w:r>
      <w:r>
        <w:rPr>
          <w:rFonts w:cs="Arial" w:ascii="Arial" w:hAnsi="Arial"/>
          <w:sz w:val="20"/>
        </w:rPr>
        <w:t xml:space="preserve">" means the "Daily Midpoint" price set forth in </w:t>
      </w:r>
      <w:r>
        <w:rPr>
          <w:rFonts w:cs="Arial" w:ascii="Arial" w:hAnsi="Arial"/>
          <w:sz w:val="20"/>
          <w:u w:val="single"/>
        </w:rPr>
        <w:t>Gas Daily</w:t>
      </w:r>
      <w:r>
        <w:rPr>
          <w:rFonts w:cs="Arial" w:ascii="Arial" w:hAnsi="Arial"/>
          <w:sz w:val="20"/>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pPr>
      <w:r>
        <w:rPr>
          <w:rFonts w:cs="Arial" w:ascii="Arial" w:hAnsi="Arial"/>
          <w:b/>
          <w:sz w:val="20"/>
          <w:u w:val="single"/>
        </w:rPr>
        <w:t>3. Payments/Early Termination</w:t>
      </w:r>
      <w:r>
        <w:rPr>
          <w:rFonts w:cs="Arial" w:ascii="Arial" w:hAnsi="Arial"/>
          <w:sz w:val="20"/>
        </w:rPr>
        <w:t>. By the 10th day of each month following the month in which gas was scheduled, Seller shall provide Buyer a written statement covering the preceding month. Billing and payment will be based on scheduled quantities; provided, if gas is transported by an intrastate transporter same will be based on actual receipts and deliveries. Within 10 days of the request of either party, the other party shall provide, to the extent it has a legal right of access thereto or such statement is then available, a copy of the transporter's allocation statement applicable to gas sold hereunder for the requested period. All amounts payable under this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hereby governed may be offset or recouped against each other, or netted for payment. If a party shall make an assignment or arrangement for the benefit of creditors, file a petition or commence, authorize or acquiesce in the commencement of a proceeding under any bankruptcy or similar law, or have such petition filed against it and such proceeding remains undismissed for 30 days, otherwise become bankrupt or insolvent, or be unable to pay its debts as due, then all Transactions hereunder shall automatically terminate, the other party shall calculate its damages in respect of each Transaction as if no further scheduling of gas will occur and net same against each other; the resulting net amount, if positive, being immediately due and payable to such other party.</w:t>
      </w:r>
    </w:p>
    <w:p>
      <w:pPr>
        <w:pStyle w:val="Normal"/>
        <w:jc w:val="both"/>
        <w:rPr/>
      </w:pPr>
      <w:r>
        <w:rPr>
          <w:rFonts w:cs="Arial" w:ascii="Arial" w:hAnsi="Arial"/>
          <w:b/>
          <w:sz w:val="20"/>
          <w:u w:val="single"/>
        </w:rPr>
        <w:t>4. Force Majeure</w:t>
      </w:r>
      <w:r>
        <w:rPr>
          <w:rFonts w:cs="Arial" w:ascii="Arial" w:hAnsi="Arial"/>
          <w:sz w:val="20"/>
        </w:rPr>
        <w:t>.</w:t>
      </w:r>
      <w:r>
        <w:rPr>
          <w:rFonts w:cs="Arial" w:ascii="Arial" w:hAnsi="Arial"/>
          <w:b/>
          <w:sz w:val="20"/>
        </w:rPr>
        <w:t xml:space="preserve"> </w:t>
      </w:r>
      <w:r>
        <w:rPr>
          <w:rFonts w:cs="Arial" w:ascii="Arial" w:hAnsi="Arial"/>
          <w:sz w:val="20"/>
        </w:rPr>
        <w:t xml:space="preserve">In the event either party is rendered unable, wholly or in part, by </w:t>
      </w:r>
      <w:r>
        <w:rPr>
          <w:rFonts w:cs="Arial" w:ascii="Arial" w:hAnsi="Arial"/>
          <w:sz w:val="20"/>
          <w:u w:val="single"/>
        </w:rPr>
        <w:t>Force Majeure</w:t>
      </w:r>
      <w:r>
        <w:rPr>
          <w:rFonts w:cs="Arial" w:ascii="Arial" w:hAnsi="Arial"/>
          <w:sz w:val="20"/>
        </w:rPr>
        <w:t xml:space="preserve"> to carry out its obligations, other than payment, it is agreed that upon such party's giving notice of such </w:t>
      </w:r>
      <w:r>
        <w:rPr>
          <w:rFonts w:cs="Arial" w:ascii="Arial" w:hAnsi="Arial"/>
          <w:sz w:val="20"/>
          <w:u w:val="single"/>
        </w:rPr>
        <w:t>Force Majeure</w:t>
      </w:r>
      <w:r>
        <w:rPr>
          <w:rFonts w:cs="Arial" w:ascii="Arial" w:hAnsi="Arial"/>
          <w:sz w:val="20"/>
        </w:rPr>
        <w:t xml:space="preserve"> to the other party, the obligations of the party giving such notice, to the extent affected by such event, shall be suspended from the inception and during the continuance of the </w:t>
      </w:r>
      <w:r>
        <w:rPr>
          <w:rFonts w:cs="Arial" w:ascii="Arial" w:hAnsi="Arial"/>
          <w:sz w:val="20"/>
          <w:u w:val="single"/>
        </w:rPr>
        <w:t>Force Majeure</w:t>
      </w:r>
      <w:r>
        <w:rPr>
          <w:rFonts w:cs="Arial" w:ascii="Arial" w:hAnsi="Arial"/>
          <w:sz w:val="20"/>
        </w:rPr>
        <w:t>. "</w:t>
      </w:r>
      <w:r>
        <w:rPr>
          <w:rFonts w:cs="Arial" w:ascii="Arial" w:hAnsi="Arial"/>
          <w:b/>
          <w:i/>
          <w:sz w:val="20"/>
          <w:u w:val="single"/>
        </w:rPr>
        <w:t>Force Majeure</w:t>
      </w:r>
      <w:r>
        <w:rPr>
          <w:rFonts w:cs="Arial" w:ascii="Arial" w:hAnsi="Arial"/>
          <w:sz w:val="20"/>
        </w:rPr>
        <w:t xml:space="preserve">" means an event not anticipated as of the Transaction date,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w:ascii="Arial" w:hAnsi="Arial"/>
          <w:sz w:val="20"/>
          <w:u w:val="single"/>
        </w:rPr>
        <w:t>Force Majeure</w:t>
      </w:r>
      <w:r>
        <w:rPr>
          <w:rFonts w:cs="Arial" w:ascii="Arial" w:hAnsi="Arial"/>
          <w:sz w:val="20"/>
        </w:rPr>
        <w:t>. "</w:t>
      </w:r>
      <w:r>
        <w:rPr>
          <w:rFonts w:cs="Arial" w:ascii="Arial" w:hAnsi="Arial"/>
          <w:sz w:val="20"/>
          <w:u w:val="single"/>
        </w:rPr>
        <w:t>Force Majeure</w:t>
      </w:r>
      <w:r>
        <w:rPr>
          <w:rFonts w:cs="Arial" w:ascii="Arial" w:hAnsi="Arial"/>
          <w:sz w:val="20"/>
        </w:rPr>
        <w:t xml:space="preserve">" shall include an event of </w:t>
      </w:r>
      <w:r>
        <w:rPr>
          <w:rFonts w:cs="Arial" w:ascii="Arial" w:hAnsi="Arial"/>
          <w:sz w:val="20"/>
          <w:u w:val="single"/>
        </w:rPr>
        <w:t>Force Majeure</w:t>
      </w:r>
      <w:r>
        <w:rPr>
          <w:rFonts w:cs="Arial" w:ascii="Arial" w:hAnsi="Arial"/>
          <w:sz w:val="20"/>
        </w:rPr>
        <w:t xml:space="preserve"> occurring with respect to the services of transporters.</w:t>
      </w:r>
    </w:p>
    <w:p>
      <w:pPr>
        <w:pStyle w:val="Normal"/>
        <w:jc w:val="both"/>
        <w:rPr/>
      </w:pPr>
      <w:r>
        <w:rPr>
          <w:rFonts w:cs="Arial" w:ascii="Arial" w:hAnsi="Arial"/>
          <w:b/>
          <w:sz w:val="20"/>
          <w:u w:val="single"/>
        </w:rPr>
        <w:t>5. Taxes</w:t>
      </w:r>
      <w:r>
        <w:rPr>
          <w:rFonts w:cs="Arial" w:ascii="Arial" w:hAnsi="Arial"/>
          <w:sz w:val="20"/>
        </w:rPr>
        <w:t xml:space="preserve">. The Contract Price includes reimbursement for, and Seller shall pay, or reimburse Buyer for, all taxes applicable to the gas sold upstream of the Delivery Point(s). Seller shall indemnify, defend and hold harmless Buyer from claims for such taxes. The Contract Price does not include reimbursement for, and Buyer shall pay, or reimburse Seller for, all taxes applicable to the gas sold downstream of or at the Delivery Point(s). Buyer shall indemnify, defend and hold harmless Seller from claims for such taxes. </w:t>
      </w:r>
    </w:p>
    <w:p>
      <w:pPr>
        <w:pStyle w:val="Normal"/>
        <w:jc w:val="both"/>
        <w:rPr/>
      </w:pPr>
      <w:r>
        <w:rPr>
          <w:rFonts w:cs="Arial" w:ascii="Arial" w:hAnsi="Arial"/>
          <w:b/>
          <w:sz w:val="20"/>
          <w:u w:val="single"/>
        </w:rPr>
        <w:t>6. Title/Risk of Loss/Imbalances</w:t>
      </w:r>
      <w:r>
        <w:rPr>
          <w:rFonts w:cs="Arial" w:ascii="Arial" w:hAnsi="Arial"/>
          <w:sz w:val="20"/>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death of persons, arising from any act or incident occurring when title to gas is vested in the indemnifying party. 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w:ascii="Arial" w:hAnsi="Arial"/>
          <w:b/>
          <w:sz w:val="20"/>
        </w:rPr>
        <w:t xml:space="preserve">. </w:t>
      </w:r>
      <w:r>
        <w:rPr>
          <w:rFonts w:cs="Arial" w:ascii="Arial" w:hAnsi="Arial"/>
          <w:sz w:val="20"/>
        </w:rPr>
        <w:t xml:space="preserve">Differences between scheduled and actual quantities will be settled in cash or gas or by offset as agreed. </w:t>
      </w:r>
    </w:p>
    <w:p>
      <w:pPr>
        <w:pStyle w:val="Normal"/>
        <w:jc w:val="both"/>
        <w:rPr/>
      </w:pPr>
      <w:r>
        <w:rPr>
          <w:rFonts w:cs="Arial" w:ascii="Arial" w:hAnsi="Arial"/>
          <w:b/>
          <w:sz w:val="20"/>
          <w:u w:val="single"/>
        </w:rPr>
        <w:t>7. Operations</w:t>
      </w:r>
      <w:r>
        <w:rPr>
          <w:rFonts w:cs="Arial" w:ascii="Arial" w:hAnsi="Arial"/>
          <w:sz w:val="20"/>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w:ascii="Arial" w:hAnsi="Arial"/>
          <w:sz w:val="20"/>
          <w:u w:val="single"/>
        </w:rPr>
        <w:t>Section 2</w:t>
      </w:r>
      <w:r>
        <w:rPr>
          <w:rFonts w:cs="Arial" w:ascii="Arial" w:hAnsi="Arial"/>
          <w:sz w:val="20"/>
        </w:rPr>
        <w:t xml:space="preserve">, and with respect to Tier 3 Firm Gas, such Party (without affecting its liability under </w:t>
      </w:r>
      <w:r>
        <w:rPr>
          <w:rFonts w:cs="Arial" w:ascii="Arial" w:hAnsi="Arial"/>
          <w:sz w:val="20"/>
          <w:u w:val="single"/>
        </w:rPr>
        <w:t>Section 2</w:t>
      </w:r>
      <w:r>
        <w:rPr>
          <w:rFonts w:cs="Arial" w:ascii="Arial" w:hAnsi="Arial"/>
          <w:sz w:val="20"/>
        </w:rPr>
        <w:t xml:space="preserve">) shall provide to the other Party facsimile notice thereof not later than one business day prior to the earlier of Buyer's or Seller's transporter's nomination deadline for the applicable day. Nothing in this GTC, including an event of </w:t>
      </w:r>
      <w:r>
        <w:rPr>
          <w:rFonts w:cs="Arial" w:ascii="Arial" w:hAnsi="Arial"/>
          <w:sz w:val="20"/>
          <w:u w:val="single"/>
        </w:rPr>
        <w:t>Force Majeure</w:t>
      </w:r>
      <w:r>
        <w:rPr>
          <w:rFonts w:cs="Arial" w:ascii="Arial" w:hAnsi="Arial"/>
          <w:sz w:val="20"/>
        </w:rPr>
        <w:t>, shall require or permit either party to schedule gas at a point other than a Delivery Point or in excess of the DCQ. Seller shall obtain transportation to the Delivery Point, and Buyer shall obtain transportation from the Delivery Point. Seller represents and warrants that all gas delivered hereunder shall meet or exceed the specifications of Buyer's transporter. At appropriate intervals Company's transporter shall measure gas purchased and sold hereunder. If either party receives an operational flow order from a transporter requiring action to be taken in connection with a Transaction ("</w:t>
      </w:r>
      <w:r>
        <w:rPr>
          <w:rFonts w:cs="Arial" w:ascii="Arial" w:hAnsi="Arial"/>
          <w:sz w:val="20"/>
          <w:u w:val="single"/>
        </w:rPr>
        <w:t>OFO</w:t>
      </w:r>
      <w:r>
        <w:rPr>
          <w:rFonts w:cs="Arial" w:ascii="Arial" w:hAnsi="Arial"/>
          <w:sz w:val="20"/>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of which the indemnifying party failed to give the indemnified party the notice required hereunder or under which the indemnifying party failed to take timely action required by the OFO.</w:t>
      </w:r>
    </w:p>
    <w:p>
      <w:pPr>
        <w:pStyle w:val="Normal"/>
        <w:jc w:val="both"/>
        <w:rPr/>
      </w:pPr>
      <w:r>
        <w:rPr>
          <w:rFonts w:cs="Arial" w:ascii="Arial" w:hAnsi="Arial"/>
          <w:b/>
          <w:sz w:val="20"/>
          <w:u w:val="single"/>
        </w:rPr>
        <w:t>8. Arbitration.</w:t>
      </w:r>
      <w:r>
        <w:rPr>
          <w:rFonts w:cs="Arial" w:ascii="Arial" w:hAnsi="Arial"/>
          <w:sz w:val="20"/>
        </w:rPr>
        <w:t xml:space="preserve"> Any dispute relating to this Agreement shall be resolved by binding, self-administered arbitration pursuant to the Commercial Arbitration Rules of the </w:t>
      </w:r>
      <w:r>
        <w:rPr>
          <w:rFonts w:cs="Arial" w:ascii="Arial" w:hAnsi="Arial"/>
          <w:sz w:val="20"/>
          <w:u w:val="single"/>
        </w:rPr>
        <w:t>American Arbitration Association ("AAA")</w:t>
      </w:r>
      <w:r>
        <w:rPr>
          <w:rFonts w:cs="Arial" w:ascii="Arial" w:hAnsi="Arial"/>
          <w:sz w:val="20"/>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w:ascii="Arial" w:hAnsi="Arial"/>
          <w:b/>
          <w:sz w:val="20"/>
          <w:u w:val="single"/>
        </w:rPr>
        <w:t>9. Damages</w:t>
      </w:r>
      <w:r>
        <w:rPr>
          <w:rFonts w:cs="Arial" w:ascii="Arial" w:hAnsi="Arial"/>
          <w:sz w:val="20"/>
        </w:rPr>
        <w:t>.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and, subject thereto, accepts such GOODS "AS IS" AND "WITH ALL FAULTS."</w:t>
      </w:r>
    </w:p>
    <w:p>
      <w:pPr>
        <w:pStyle w:val="Normal"/>
        <w:spacing w:before="100" w:after="100"/>
        <w:jc w:val="both"/>
        <w:rPr/>
      </w:pPr>
      <w:r>
        <w:rPr>
          <w:rFonts w:cs="Arial" w:ascii="Arial" w:hAnsi="Arial"/>
          <w:b/>
          <w:sz w:val="20"/>
          <w:u w:val="single"/>
        </w:rPr>
        <w:t>10. Warranties</w:t>
      </w:r>
      <w:r>
        <w:rPr>
          <w:rFonts w:cs="Arial" w:ascii="Arial" w:hAnsi="Arial"/>
          <w:sz w:val="20"/>
        </w:rPr>
        <w:t>. The following representations and warranties shall apply to Transactions under the stated conditions: (i) if Houston Pipe Line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Houston Pipe Line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GB"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GB"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GB"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1999-09-03T13:59:00Z</dcterms:created>
  <dc:creator>Nicola Beales</dc:creator>
  <dc:description/>
  <dc:language>en-CA</dc:language>
  <cp:lastModifiedBy>Nicola Beales</cp:lastModifiedBy>
  <dcterms:modified xsi:type="dcterms:W3CDTF">1999-09-03T13:59:00Z</dcterms:modified>
  <cp:revision>2</cp:revision>
  <dc:subject/>
  <dc:title>ENFOLIO® "SPOT" GENERAL TERMS &amp; CONDITIONS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