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sz w:val="22"/>
          <w:lang w:eastAsia="en-US"/>
        </w:rPr>
      </w:pPr>
      <w:r>
        <w:rPr>
          <w:sz w:val="22"/>
          <w:lang w:eastAsia="en-US"/>
        </w:rPr>
        <w:t>OUTSTANDING MATTERS</w:t>
      </w:r>
    </w:p>
    <w:p>
      <w:pPr>
        <w:pStyle w:val="Normal"/>
        <w:widowControl w:val="false"/>
        <w:rPr>
          <w:sz w:val="22"/>
          <w:lang w:eastAsia="en-US"/>
        </w:rPr>
      </w:pPr>
      <w:r>
        <w:rPr>
          <w:sz w:val="22"/>
          <w:lang w:eastAsia="en-US"/>
        </w:rPr>
      </w:r>
    </w:p>
    <w:p>
      <w:pPr>
        <w:pStyle w:val="Normal"/>
        <w:widowControl w:val="false"/>
        <w:rPr>
          <w:sz w:val="22"/>
          <w:lang w:eastAsia="en-US"/>
        </w:rPr>
      </w:pPr>
      <w:r>
        <w:rPr>
          <w:sz w:val="22"/>
          <w:lang w:eastAsia="en-US"/>
        </w:rPr>
        <w:t>IT SERVICES AGREEMENT</w:t>
      </w:r>
    </w:p>
    <w:p>
      <w:pPr>
        <w:pStyle w:val="Normal"/>
        <w:widowControl w:val="false"/>
        <w:rPr>
          <w:sz w:val="22"/>
          <w:lang w:eastAsia="en-US"/>
        </w:rPr>
      </w:pPr>
      <w:r>
        <w:rPr>
          <w:sz w:val="22"/>
          <w:lang w:eastAsia="en-US"/>
        </w:rPr>
      </w:r>
    </w:p>
    <w:p>
      <w:pPr>
        <w:pStyle w:val="Normal"/>
        <w:widowControl w:val="false"/>
        <w:rPr/>
      </w:pPr>
      <w:r>
        <w:rPr>
          <w:sz w:val="22"/>
          <w:lang w:eastAsia="en-US"/>
        </w:rPr>
        <w:t xml:space="preserve">1.  </w:t>
      </w:r>
      <w:r>
        <w:rPr>
          <w:sz w:val="22"/>
          <w:u w:val="single"/>
          <w:lang w:eastAsia="en-US"/>
        </w:rPr>
        <w:t>Sections 3.1, 11.2, and 11.4</w:t>
      </w:r>
      <w:r>
        <w:rPr>
          <w:sz w:val="22"/>
          <w:lang w:eastAsia="en-US"/>
        </w:rPr>
        <w:t xml:space="preserve">  The IT system must be fully functional, so that HPL and Newco (the "Company Group") will be able to remotely access and use the Applications as of the Closing Date.  Thereafter, Enron must backup transactions and have data recoverable as if the data were Enron's own.</w:t>
      </w:r>
    </w:p>
    <w:p>
      <w:pPr>
        <w:pStyle w:val="Normal"/>
        <w:widowControl w:val="false"/>
        <w:rPr>
          <w:sz w:val="22"/>
          <w:lang w:eastAsia="en-US"/>
        </w:rPr>
      </w:pPr>
      <w:r>
        <w:rPr>
          <w:sz w:val="22"/>
          <w:lang w:eastAsia="en-US"/>
        </w:rPr>
      </w:r>
    </w:p>
    <w:p>
      <w:pPr>
        <w:pStyle w:val="Normal"/>
        <w:widowControl w:val="false"/>
        <w:rPr/>
      </w:pPr>
      <w:r>
        <w:rPr>
          <w:sz w:val="22"/>
          <w:lang w:eastAsia="en-US"/>
        </w:rPr>
        <w:t xml:space="preserve">2.  </w:t>
      </w:r>
      <w:r>
        <w:rPr>
          <w:sz w:val="22"/>
          <w:u w:val="single"/>
          <w:lang w:eastAsia="en-US"/>
        </w:rPr>
        <w:t>Section 2.1 and Section 8.5(c)</w:t>
      </w:r>
      <w:r>
        <w:rPr>
          <w:sz w:val="22"/>
          <w:lang w:eastAsia="en-US"/>
        </w:rPr>
        <w:t xml:space="preserve">  The Applications must be able to be used for natural gas hedging and financial products relating to the Company Group, as well as the other services initially described in the Agreement (trading, storage, and transportation), such that the Company Group will have all IT services necessary to manage and operate the HPL Assets and the Leased Assets.</w:t>
      </w:r>
    </w:p>
    <w:p>
      <w:pPr>
        <w:pStyle w:val="Normal"/>
        <w:widowControl w:val="false"/>
        <w:rPr>
          <w:sz w:val="22"/>
          <w:lang w:eastAsia="en-US"/>
        </w:rPr>
      </w:pPr>
      <w:r>
        <w:rPr>
          <w:sz w:val="22"/>
          <w:lang w:eastAsia="en-US"/>
        </w:rPr>
      </w:r>
    </w:p>
    <w:p>
      <w:pPr>
        <w:pStyle w:val="Normal"/>
        <w:widowControl w:val="false"/>
        <w:rPr/>
      </w:pPr>
      <w:r>
        <w:rPr>
          <w:sz w:val="22"/>
          <w:lang w:eastAsia="en-US"/>
        </w:rPr>
        <w:t xml:space="preserve">3.  </w:t>
      </w:r>
      <w:r>
        <w:rPr>
          <w:sz w:val="22"/>
          <w:u w:val="single"/>
          <w:lang w:eastAsia="en-US"/>
        </w:rPr>
        <w:t>Section 5 and Exhibit B</w:t>
      </w:r>
      <w:r>
        <w:rPr>
          <w:sz w:val="22"/>
          <w:lang w:eastAsia="en-US"/>
        </w:rPr>
        <w:t xml:space="preserve">  The monthly IT Fees should commence as .of the Closing Date, not the date of execution of the IT Services Agreement.  The set up fee should be payable in two installments, with 50% payable on the Effective Date and 50% payable at the Closing (assuming that the system is fully functional).</w:t>
      </w:r>
    </w:p>
    <w:p>
      <w:pPr>
        <w:pStyle w:val="Normal"/>
        <w:widowControl w:val="false"/>
        <w:rPr>
          <w:sz w:val="22"/>
          <w:lang w:eastAsia="en-US"/>
        </w:rPr>
      </w:pPr>
      <w:r>
        <w:rPr>
          <w:sz w:val="22"/>
          <w:lang w:eastAsia="en-US"/>
        </w:rPr>
      </w:r>
    </w:p>
    <w:p>
      <w:pPr>
        <w:pStyle w:val="Normal"/>
        <w:widowControl w:val="false"/>
        <w:rPr/>
      </w:pPr>
      <w:r>
        <w:rPr>
          <w:sz w:val="22"/>
          <w:lang w:eastAsia="en-US"/>
        </w:rPr>
        <w:t xml:space="preserve">4.  </w:t>
      </w:r>
      <w:r>
        <w:rPr>
          <w:sz w:val="22"/>
          <w:u w:val="single"/>
          <w:lang w:eastAsia="en-US"/>
        </w:rPr>
        <w:t>Section 6.1 and Section 8.5(b)</w:t>
      </w:r>
      <w:r>
        <w:rPr>
          <w:sz w:val="22"/>
          <w:lang w:eastAsia="en-US"/>
        </w:rPr>
        <w:t xml:space="preserve">  For tax purposes, records of transactions must be maintained by Enron for seven years.  A secure firewall is crucial.  Only employees of the Company Group and their affiliates and Enron technical employees who must have access to the records would be granted access to such records.</w:t>
      </w:r>
    </w:p>
    <w:p>
      <w:pPr>
        <w:pStyle w:val="Normal"/>
        <w:widowControl w:val="false"/>
        <w:rPr>
          <w:sz w:val="22"/>
          <w:lang w:eastAsia="en-US"/>
        </w:rPr>
      </w:pPr>
      <w:r>
        <w:rPr>
          <w:sz w:val="22"/>
          <w:lang w:eastAsia="en-US"/>
        </w:rPr>
      </w:r>
    </w:p>
    <w:p>
      <w:pPr>
        <w:pStyle w:val="Normal"/>
        <w:widowControl w:val="false"/>
        <w:rPr/>
      </w:pPr>
      <w:r>
        <w:rPr>
          <w:sz w:val="22"/>
          <w:lang w:eastAsia="en-US"/>
        </w:rPr>
        <w:t xml:space="preserve">5.  </w:t>
      </w:r>
      <w:r>
        <w:rPr>
          <w:sz w:val="22"/>
          <w:u w:val="single"/>
          <w:lang w:eastAsia="en-US"/>
        </w:rPr>
        <w:t>Section 7.1</w:t>
      </w:r>
      <w:r>
        <w:rPr>
          <w:sz w:val="22"/>
          <w:lang w:eastAsia="en-US"/>
        </w:rPr>
        <w:t xml:space="preserve">  Because of the importance of the Applications to the Company Group, Enron must not be able to terminate the IT Services Agreement on less than 270 days notice.</w:t>
      </w:r>
    </w:p>
    <w:p>
      <w:pPr>
        <w:pStyle w:val="Normal"/>
        <w:widowControl w:val="false"/>
        <w:rPr>
          <w:sz w:val="22"/>
          <w:lang w:eastAsia="en-US"/>
        </w:rPr>
      </w:pPr>
      <w:r>
        <w:rPr>
          <w:sz w:val="22"/>
          <w:lang w:eastAsia="en-US"/>
        </w:rPr>
      </w:r>
    </w:p>
    <w:p>
      <w:pPr>
        <w:pStyle w:val="Normal"/>
        <w:widowControl w:val="false"/>
        <w:rPr/>
      </w:pPr>
      <w:r>
        <w:rPr>
          <w:sz w:val="22"/>
          <w:lang w:eastAsia="en-US"/>
        </w:rPr>
        <w:t xml:space="preserve">6.  </w:t>
      </w:r>
      <w:r>
        <w:rPr>
          <w:sz w:val="22"/>
          <w:u w:val="single"/>
          <w:lang w:eastAsia="en-US"/>
        </w:rPr>
        <w:t>Section 8.1 -8.4</w:t>
      </w:r>
      <w:r>
        <w:rPr>
          <w:sz w:val="22"/>
          <w:lang w:eastAsia="en-US"/>
        </w:rPr>
        <w:t xml:space="preserve">  The Company Group should be indemnified and held harmless from claims for patent infringements, etc. concerning the Applications and the Services provided by Enron.  The other indemnity and limitation of liability provisions should be reciprocal.  Each party indemnifying and holding harmless the other party from their action or inaction.</w:t>
      </w:r>
    </w:p>
    <w:p>
      <w:pPr>
        <w:pStyle w:val="Normal"/>
        <w:widowControl w:val="false"/>
        <w:rPr>
          <w:sz w:val="22"/>
          <w:lang w:eastAsia="en-US"/>
        </w:rPr>
      </w:pPr>
      <w:r>
        <w:rPr>
          <w:sz w:val="22"/>
          <w:lang w:eastAsia="en-US"/>
        </w:rPr>
      </w:r>
    </w:p>
    <w:p>
      <w:pPr>
        <w:pStyle w:val="Normal"/>
        <w:widowControl w:val="false"/>
        <w:rPr/>
      </w:pPr>
      <w:r>
        <w:rPr>
          <w:sz w:val="22"/>
          <w:lang w:eastAsia="en-US"/>
        </w:rPr>
        <w:t xml:space="preserve">7.  </w:t>
      </w:r>
      <w:r>
        <w:rPr>
          <w:sz w:val="22"/>
          <w:u w:val="single"/>
          <w:lang w:eastAsia="en-US"/>
        </w:rPr>
        <w:t>Section 10.12</w:t>
      </w:r>
      <w:r>
        <w:rPr>
          <w:sz w:val="22"/>
          <w:lang w:eastAsia="en-US"/>
        </w:rPr>
        <w:t xml:space="preserve">  The restrictions on soliciting the other party's employees should be reciprocal.</w:t>
      </w:r>
    </w:p>
    <w:p>
      <w:pPr>
        <w:pStyle w:val="Normal"/>
        <w:widowControl w:val="false"/>
        <w:rPr>
          <w:sz w:val="22"/>
          <w:lang w:eastAsia="en-US"/>
        </w:rPr>
      </w:pPr>
      <w:r>
        <w:rPr>
          <w:sz w:val="22"/>
          <w:lang w:eastAsia="en-US"/>
        </w:rPr>
      </w:r>
    </w:p>
    <w:p>
      <w:pPr>
        <w:pStyle w:val="Normal"/>
        <w:widowControl w:val="false"/>
        <w:rPr>
          <w:sz w:val="22"/>
          <w:lang w:eastAsia="en-US"/>
        </w:rPr>
      </w:pPr>
      <w:r>
        <w:rPr>
          <w:sz w:val="22"/>
          <w:lang w:eastAsia="en-US"/>
        </w:rPr>
        <w:t>EMPLOYEE MATTERS AGREEMENT</w:t>
      </w:r>
    </w:p>
    <w:p>
      <w:pPr>
        <w:pStyle w:val="Normal"/>
        <w:widowControl w:val="false"/>
        <w:rPr>
          <w:sz w:val="22"/>
          <w:lang w:eastAsia="en-US"/>
        </w:rPr>
      </w:pPr>
      <w:r>
        <w:rPr>
          <w:sz w:val="22"/>
          <w:lang w:eastAsia="en-US"/>
        </w:rPr>
      </w:r>
    </w:p>
    <w:p>
      <w:pPr>
        <w:pStyle w:val="Normal"/>
        <w:widowControl w:val="false"/>
        <w:rPr/>
      </w:pPr>
      <w:r>
        <w:rPr>
          <w:sz w:val="22"/>
          <w:lang w:eastAsia="en-US"/>
        </w:rPr>
        <w:t xml:space="preserve">1.  </w:t>
      </w:r>
      <w:r>
        <w:rPr>
          <w:sz w:val="22"/>
          <w:u w:val="single"/>
          <w:lang w:eastAsia="en-US"/>
        </w:rPr>
        <w:t>Section 1(d)</w:t>
      </w:r>
      <w:r>
        <w:rPr>
          <w:sz w:val="22"/>
          <w:lang w:eastAsia="en-US"/>
        </w:rPr>
        <w:t xml:space="preserve">  The Agreement originally contained a 2 year non-solicitation provision prohibiting AEP from soliciting any employees of any of the Enron companies.  This provision needs to be mutual and limited in scope.  AEP proposes a mutual 6 month non-solicitation provision which (1) restricts Enron from soliciting HPL and LIG employees and other AEP employees who are involved in natural gas trading, financing or marketing in North America; and (2) restricts AEP from soliciting Enron employees who are involved in natural gas trading, financing, or marketing in North America.</w:t>
      </w:r>
    </w:p>
    <w:p>
      <w:pPr>
        <w:pStyle w:val="Normal"/>
        <w:widowControl w:val="false"/>
        <w:rPr>
          <w:sz w:val="22"/>
          <w:lang w:eastAsia="en-US"/>
        </w:rPr>
      </w:pPr>
      <w:r>
        <w:rPr>
          <w:sz w:val="22"/>
          <w:lang w:eastAsia="en-US"/>
        </w:rPr>
      </w:r>
    </w:p>
    <w:p>
      <w:pPr>
        <w:pStyle w:val="Normal"/>
        <w:widowControl w:val="false"/>
        <w:rPr/>
      </w:pPr>
      <w:r>
        <w:rPr>
          <w:sz w:val="22"/>
          <w:lang w:eastAsia="en-US"/>
        </w:rPr>
        <w:t xml:space="preserve">2.  </w:t>
      </w:r>
      <w:r>
        <w:rPr>
          <w:sz w:val="22"/>
          <w:u w:val="single"/>
          <w:lang w:eastAsia="en-US"/>
        </w:rPr>
        <w:t>Section 3(c) and (d)</w:t>
      </w:r>
      <w:r>
        <w:rPr>
          <w:sz w:val="22"/>
          <w:lang w:eastAsia="en-US"/>
        </w:rPr>
        <w:t xml:space="preserve">  AEP cannot agree to assume liabilities with respect to nonqualified pension plans and equity awards until AEP has received sufficient information about these plans.  AEP has requested this information, but only limited information has been provided.</w:t>
      </w:r>
    </w:p>
    <w:p>
      <w:pPr>
        <w:pStyle w:val="Normal"/>
        <w:widowControl w:val="false"/>
        <w:rPr>
          <w:sz w:val="22"/>
          <w:lang w:eastAsia="en-US"/>
        </w:rPr>
      </w:pPr>
      <w:r>
        <w:rPr>
          <w:sz w:val="22"/>
          <w:lang w:eastAsia="en-US"/>
        </w:rPr>
      </w:r>
    </w:p>
    <w:p>
      <w:pPr>
        <w:pStyle w:val="Normal"/>
        <w:widowControl w:val="false"/>
        <w:rPr/>
      </w:pPr>
      <w:r>
        <w:rPr>
          <w:sz w:val="22"/>
          <w:lang w:eastAsia="en-US"/>
        </w:rPr>
        <w:t xml:space="preserve">3.  </w:t>
      </w:r>
      <w:r>
        <w:rPr>
          <w:sz w:val="22"/>
          <w:u w:val="single"/>
          <w:lang w:eastAsia="en-US"/>
        </w:rPr>
        <w:t>Section 4(b)</w:t>
      </w:r>
      <w:r>
        <w:rPr>
          <w:sz w:val="22"/>
          <w:lang w:eastAsia="en-US"/>
        </w:rPr>
        <w:t xml:space="preserve">  AEP is not willing to agree to assume Workers' Compensation liabilities for claims attributable to events occurring prior to closing.</w:t>
      </w:r>
    </w:p>
    <w:sectPr>
      <w:headerReference w:type="default" r:id="rId2"/>
      <w:type w:val="nextPage"/>
      <w:pgSz w:w="12240" w:h="15840"/>
      <w:pgMar w:left="1800" w:right="1800" w:gutter="0" w:header="720" w:top="1440" w:footer="0" w:bottom="1440"/>
      <w:pgNumType w:fmt="decimal"/>
      <w:formProt w:val="false"/>
      <w:vAlign w:val="both"/>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b/>
      </w:rPr>
      <w:t>BIDDER A - 12/7/00</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2000-12-07T20:04:00Z</dcterms:created>
  <dc:creator>LeBoeuf, Lamb, Greene &amp; MacRae, L.L.P.</dc:creator>
  <dc:description/>
  <cp:keywords>UNKNOWN 999995.1 Unknown Unknown 12/7/2000  4:34 PM</cp:keywords>
  <dc:language>en-CA</dc:language>
  <cp:lastModifiedBy>LeBoeuf, Lamb, Greene &amp; MacRae, L.L.P.</cp:lastModifiedBy>
  <cp:lastPrinted>2000-12-07T13:25:00Z</cp:lastPrinted>
  <dcterms:modified xsi:type="dcterms:W3CDTF">2000-12-07T20:05:00Z</dcterms:modified>
  <cp:revision>3</cp:revision>
  <dc:subject/>
  <dc:title>OUTSTANDING MATTERS</dc:title>
</cp:coreProperties>
</file>