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numbering.xml" ContentType="application/vnd.openxmlformats-officedocument.wordprocessingml.numbering+xml"/>
  <Override PartName="/word/fontTable.xml" ContentType="application/vnd.openxmlformats-officedocument.wordprocessingml.fontTable+xml"/>
  <Override PartName="/word/document.xml" ContentType="application/vnd.openxmlformats-officedocument.wordprocessingml.document.main+xml"/>
  <Override PartName="/word/styles.xml" ContentType="application/vnd.openxmlformats-officedocument.wordprocessingml.styles+xml"/>
  <Override PartName="/word/header4.xml" ContentType="application/vnd.openxmlformats-officedocument.wordprocessingml.header+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1.xml" ContentType="application/vnd.openxmlformats-officedocument.wordprocessingml.footer+xml"/>
  <Override PartName="/word/header3.xml" ContentType="application/vnd.openxmlformats-officedocument.wordprocessingml.header+xml"/>
  <Override PartName="/word/settings.xml" ContentType="application/vnd.openxmlformats-officedocument.wordprocessingml.settings+xml"/>
  <Override PartName="/word/footer4.xml" ContentType="application/vnd.openxmlformats-officedocument.wordprocessingml.footer+xml"/>
  <Override PartName="/word/footnotes.xml" ContentType="application/vnd.openxmlformats-officedocument.wordprocessingml.footnotes+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tabs>
          <w:tab w:val="clear" w:pos="4680"/>
        </w:tabs>
        <w:rPr>
          <w:sz w:val="23"/>
        </w:rPr>
      </w:pPr>
      <w:r>
        <w:rPr>
          <w:sz w:val="23"/>
        </w:rPr>
        <w:t xml:space="preserve">IT SERVICES AGREEMENT </w:t>
      </w:r>
    </w:p>
    <w:p>
      <w:pPr>
        <w:pStyle w:val="Normal"/>
        <w:suppressAutoHyphens w:val="true"/>
        <w:jc w:val="both"/>
        <w:rPr>
          <w:spacing w:val="-2"/>
          <w:sz w:val="23"/>
        </w:rPr>
      </w:pPr>
      <w:r>
        <w:rPr>
          <w:spacing w:val="-2"/>
          <w:sz w:val="23"/>
        </w:rPr>
      </w:r>
    </w:p>
    <w:p>
      <w:pPr>
        <w:pStyle w:val="Normal"/>
        <w:suppressAutoHyphens w:val="true"/>
        <w:jc w:val="both"/>
        <w:rPr>
          <w:spacing w:val="-2"/>
        </w:rPr>
      </w:pPr>
      <w:r>
        <w:rPr>
          <w:spacing w:val="-2"/>
        </w:rPr>
      </w:r>
    </w:p>
    <w:p>
      <w:pPr>
        <w:pStyle w:val="Normal"/>
        <w:suppressAutoHyphens w:val="true"/>
        <w:jc w:val="both"/>
        <w:rPr/>
      </w:pPr>
      <w:r>
        <w:rPr>
          <w:spacing w:val="-2"/>
        </w:rPr>
        <w:tab/>
        <w:t>THIS IT SERVICES AGREEMENT ("</w:t>
      </w:r>
      <w:r>
        <w:rPr>
          <w:spacing w:val="-2"/>
          <w:u w:val="single"/>
        </w:rPr>
        <w:t>Agreement</w:t>
      </w:r>
      <w:r>
        <w:rPr>
          <w:spacing w:val="-2"/>
        </w:rPr>
        <w:t xml:space="preserve">"), by and between </w:t>
      </w:r>
      <w:r>
        <w:rPr>
          <w:b/>
          <w:spacing w:val="-2"/>
        </w:rPr>
        <w:t xml:space="preserve">__________________ </w:t>
      </w:r>
      <w:r>
        <w:rPr>
          <w:spacing w:val="-2"/>
        </w:rPr>
        <w:t xml:space="preserve">("Company"), and </w:t>
      </w:r>
      <w:r>
        <w:rPr>
          <w:b/>
          <w:spacing w:val="-2"/>
        </w:rPr>
        <w:t>Enron North America Corp.</w:t>
      </w:r>
      <w:r>
        <w:rPr>
          <w:spacing w:val="-2"/>
        </w:rPr>
        <w:t xml:space="preserve">, a Delaware corporation ("Enron”), is effective as of ______________(the “Effective Date”).  </w:t>
      </w:r>
    </w:p>
    <w:p>
      <w:pPr>
        <w:pStyle w:val="Normal"/>
        <w:suppressAutoHyphens w:val="true"/>
        <w:jc w:val="both"/>
        <w:rPr>
          <w:spacing w:val="-2"/>
        </w:rPr>
      </w:pPr>
      <w:r>
        <w:rPr>
          <w:spacing w:val="-2"/>
        </w:rPr>
      </w:r>
    </w:p>
    <w:p>
      <w:pPr>
        <w:pStyle w:val="Normal"/>
        <w:suppressAutoHyphens w:val="true"/>
        <w:jc w:val="both"/>
        <w:rPr>
          <w:spacing w:val="-2"/>
        </w:rPr>
      </w:pPr>
      <w:r>
        <w:rPr>
          <w:spacing w:val="-2"/>
        </w:rPr>
        <w:tab/>
        <w:t>WHEREAS, Enron and Company desire by their execution of this Agreement to evidence their understanding about Enron’s providing certain Services (as defined below) to Company.</w:t>
      </w:r>
    </w:p>
    <w:p>
      <w:pPr>
        <w:pStyle w:val="Normal"/>
        <w:suppressAutoHyphens w:val="true"/>
        <w:jc w:val="both"/>
        <w:rPr>
          <w:spacing w:val="-2"/>
        </w:rPr>
      </w:pPr>
      <w:r>
        <w:rPr>
          <w:spacing w:val="-2"/>
        </w:rPr>
      </w:r>
    </w:p>
    <w:p>
      <w:pPr>
        <w:pStyle w:val="Normal"/>
        <w:suppressAutoHyphens w:val="true"/>
        <w:jc w:val="both"/>
        <w:rPr>
          <w:spacing w:val="-2"/>
        </w:rPr>
      </w:pPr>
      <w:r>
        <w:rPr>
          <w:spacing w:val="-2"/>
        </w:rPr>
        <w:tab/>
        <w:t>NOW, THEREFORE, in consideration of the foregoing premises, and the mutual promises and covenants contained herein, the parties agree as follows:</w:t>
      </w:r>
    </w:p>
    <w:p>
      <w:pPr>
        <w:pStyle w:val="Normal"/>
        <w:suppressAutoHyphens w:val="true"/>
        <w:jc w:val="both"/>
        <w:rPr>
          <w:spacing w:val="-2"/>
        </w:rPr>
      </w:pPr>
      <w:r>
        <w:rPr>
          <w:spacing w:val="-2"/>
        </w:rPr>
      </w:r>
    </w:p>
    <w:p>
      <w:pPr>
        <w:pStyle w:val="Heading1"/>
        <w:keepNext w:val="false"/>
        <w:keepLines w:val="false"/>
        <w:ind w:hanging="0" w:start="0"/>
        <w:rPr>
          <w:sz w:val="22"/>
        </w:rPr>
      </w:pPr>
      <w:r>
        <w:rPr>
          <w:sz w:val="22"/>
        </w:rPr>
        <w:t>SECTION 1.  SERVICES PROVIDED BY ENRON</w:t>
      </w:r>
    </w:p>
    <w:p>
      <w:pPr>
        <w:pStyle w:val="Normal"/>
        <w:suppressAutoHyphens w:val="true"/>
        <w:jc w:val="both"/>
        <w:rPr>
          <w:spacing w:val="-2"/>
          <w:sz w:val="22"/>
        </w:rPr>
      </w:pPr>
      <w:r>
        <w:rPr>
          <w:spacing w:val="-2"/>
          <w:sz w:val="22"/>
        </w:rPr>
      </w:r>
    </w:p>
    <w:p>
      <w:pPr>
        <w:pStyle w:val="Normal"/>
        <w:suppressAutoHyphens w:val="true"/>
        <w:ind w:firstLine="720" w:end="0"/>
        <w:jc w:val="both"/>
        <w:rPr/>
      </w:pPr>
      <w:r>
        <w:rPr>
          <w:spacing w:val="-2"/>
        </w:rPr>
        <w:t>In exchange for the compensation described herein, Enron agrees to provide or cause its affiliates to provide Company and/or its subsidiaries certain services (the "</w:t>
      </w:r>
      <w:r>
        <w:rPr>
          <w:spacing w:val="-2"/>
          <w:u w:val="single"/>
        </w:rPr>
        <w:t>Services</w:t>
      </w:r>
      <w:r>
        <w:rPr>
          <w:spacing w:val="-2"/>
        </w:rPr>
        <w:t xml:space="preserve">") to the extent such Services may be reasonably requested by Company from time to time.  The Services provided hereunder shall be those described on </w:t>
      </w:r>
      <w:r>
        <w:rPr>
          <w:spacing w:val="-2"/>
          <w:u w:val="single"/>
        </w:rPr>
        <w:t>Exhibit A</w:t>
      </w:r>
      <w:r>
        <w:rPr>
          <w:spacing w:val="-2"/>
        </w:rPr>
        <w:t xml:space="preserve"> attached hereto.</w:t>
      </w:r>
    </w:p>
    <w:p>
      <w:pPr>
        <w:pStyle w:val="Normal"/>
        <w:suppressAutoHyphens w:val="true"/>
        <w:jc w:val="both"/>
        <w:rPr>
          <w:b/>
          <w:spacing w:val="-2"/>
        </w:rPr>
      </w:pPr>
      <w:r>
        <w:rPr>
          <w:b/>
          <w:spacing w:val="-2"/>
        </w:rPr>
      </w:r>
    </w:p>
    <w:p>
      <w:pPr>
        <w:pStyle w:val="Normal"/>
        <w:suppressAutoHyphens w:val="true"/>
        <w:jc w:val="both"/>
        <w:rPr>
          <w:b/>
        </w:rPr>
      </w:pPr>
      <w:r>
        <w:rPr>
          <w:b/>
        </w:rPr>
        <w:t>SECTION 2.  PERFORMANCE OF SERVICES</w:t>
      </w:r>
    </w:p>
    <w:p>
      <w:pPr>
        <w:pStyle w:val="Normal"/>
        <w:suppressAutoHyphens w:val="true"/>
        <w:jc w:val="both"/>
        <w:rPr>
          <w:b/>
          <w:spacing w:val="-2"/>
        </w:rPr>
      </w:pPr>
      <w:r>
        <w:rPr>
          <w:b/>
          <w:spacing w:val="-2"/>
        </w:rPr>
      </w:r>
    </w:p>
    <w:p>
      <w:pPr>
        <w:pStyle w:val="Normal"/>
        <w:suppressAutoHyphens w:val="true"/>
        <w:jc w:val="both"/>
        <w:rPr/>
      </w:pPr>
      <w:r>
        <w:rPr>
          <w:spacing w:val="-2"/>
        </w:rPr>
        <w:tab/>
        <w:t>2.1</w:t>
        <w:tab/>
      </w:r>
      <w:r>
        <w:rPr>
          <w:b/>
          <w:spacing w:val="-2"/>
          <w:u w:val="single"/>
        </w:rPr>
        <w:t>Nature/Quality of Services</w:t>
      </w:r>
      <w:r>
        <w:rPr>
          <w:spacing w:val="-2"/>
        </w:rPr>
        <w:t xml:space="preserve">.  Enron shall perform the Services in substantially the same quality and manner as comparable services provided by Enron to its affiliates.  Company will not provide Enron with any training or instructions with respect to the Services.  Company is responsible for providing any equipment, materials, or supplies that Enron determines is necessary to perform the Services, except as otherwise set forth on </w:t>
      </w:r>
      <w:r>
        <w:rPr>
          <w:spacing w:val="-2"/>
          <w:u w:val="single"/>
        </w:rPr>
        <w:t>Exhibit A</w:t>
      </w:r>
      <w:r>
        <w:rPr>
          <w:spacing w:val="-2"/>
        </w:rPr>
        <w:t xml:space="preserve"> attached hereto.  Enron has all necessary licenses, permits, and registrations required to perform the Services. Except as otherwise provided in </w:t>
      </w:r>
      <w:r>
        <w:rPr>
          <w:spacing w:val="-2"/>
          <w:u w:val="single"/>
        </w:rPr>
        <w:t>Exhibit A</w:t>
      </w:r>
      <w:r>
        <w:rPr>
          <w:spacing w:val="-2"/>
        </w:rPr>
        <w:t xml:space="preserve">, the parties will mutually agree upon the terms and conditions (including pricing) upon which Enron would provide any services in addition to those specified on </w:t>
      </w:r>
      <w:r>
        <w:rPr>
          <w:spacing w:val="-2"/>
          <w:u w:val="single"/>
        </w:rPr>
        <w:t>Exhibit A</w:t>
      </w:r>
      <w:r>
        <w:rPr>
          <w:spacing w:val="-2"/>
        </w:rPr>
        <w:t>.</w:t>
      </w:r>
    </w:p>
    <w:p>
      <w:pPr>
        <w:pStyle w:val="Normal"/>
        <w:suppressAutoHyphens w:val="true"/>
        <w:jc w:val="both"/>
        <w:rPr>
          <w:spacing w:val="-2"/>
        </w:rPr>
      </w:pPr>
      <w:r>
        <w:rPr>
          <w:spacing w:val="-2"/>
        </w:rPr>
      </w:r>
    </w:p>
    <w:p>
      <w:pPr>
        <w:pStyle w:val="Normal"/>
        <w:suppressAutoHyphens w:val="true"/>
        <w:jc w:val="both"/>
        <w:rPr/>
      </w:pPr>
      <w:r>
        <w:rPr>
          <w:spacing w:val="-2"/>
        </w:rPr>
        <w:tab/>
        <w:t>2.2</w:t>
        <w:tab/>
      </w:r>
      <w:r>
        <w:rPr>
          <w:b/>
          <w:spacing w:val="-2"/>
          <w:u w:val="single"/>
        </w:rPr>
        <w:t>Provision of Information</w:t>
      </w:r>
      <w:r>
        <w:rPr>
          <w:spacing w:val="-2"/>
        </w:rPr>
        <w:t xml:space="preserve">.  Any data, information, equipment, or general directions necessary for Enron to perform the Services shall be submitted by Company in a timely manner.  </w:t>
      </w:r>
    </w:p>
    <w:p>
      <w:pPr>
        <w:pStyle w:val="Normal"/>
        <w:suppressAutoHyphens w:val="true"/>
        <w:jc w:val="both"/>
        <w:rPr>
          <w:spacing w:val="-2"/>
        </w:rPr>
      </w:pPr>
      <w:r>
        <w:rPr>
          <w:spacing w:val="-2"/>
        </w:rPr>
      </w:r>
    </w:p>
    <w:p>
      <w:pPr>
        <w:pStyle w:val="Normal"/>
        <w:ind w:firstLine="720" w:end="0"/>
        <w:jc w:val="both"/>
        <w:rPr/>
      </w:pPr>
      <w:r>
        <w:rPr/>
        <w:t>2.3</w:t>
        <w:tab/>
      </w:r>
      <w:r>
        <w:rPr>
          <w:b/>
          <w:u w:val="single"/>
        </w:rPr>
        <w:t>Access</w:t>
      </w:r>
      <w:r>
        <w:rPr>
          <w:b/>
          <w:i/>
        </w:rPr>
        <w:t>.</w:t>
      </w:r>
      <w:r>
        <w:rPr/>
        <w:t xml:space="preserve">  Company will permit Enron’s employees, agents, representatives, affiliates, contractors and subcontractors to have reasonable access to the Company’s premises to the extent necessary to perform the Services.</w:t>
      </w:r>
    </w:p>
    <w:p>
      <w:pPr>
        <w:pStyle w:val="Normal"/>
        <w:suppressAutoHyphens w:val="true"/>
        <w:jc w:val="both"/>
        <w:rPr>
          <w:spacing w:val="-2"/>
        </w:rPr>
      </w:pPr>
      <w:r>
        <w:rPr>
          <w:spacing w:val="-2"/>
        </w:rPr>
      </w:r>
    </w:p>
    <w:p>
      <w:pPr>
        <w:pStyle w:val="Normal"/>
        <w:suppressAutoHyphens w:val="true"/>
        <w:jc w:val="both"/>
        <w:rPr/>
      </w:pPr>
      <w:r>
        <w:rPr>
          <w:spacing w:val="-2"/>
        </w:rPr>
        <w:tab/>
        <w:t>2.4</w:t>
        <w:tab/>
      </w:r>
      <w:r>
        <w:rPr>
          <w:b/>
          <w:spacing w:val="-2"/>
          <w:u w:val="single"/>
        </w:rPr>
        <w:t>Laws and Regulations</w:t>
      </w:r>
      <w:r>
        <w:rPr>
          <w:spacing w:val="-2"/>
        </w:rPr>
        <w:t>. Company represents and agrees that it will use the Services provided hereunder only in accordance with this Agreement and with all applicable federal, state, and local laws and regulations, and in accordance with the conditions, rules, regulations, license or contractual restrictions and specifications that may be set forth in any manuals, materials, documents, or instructions in existence on the date of this Agreement and furnished or communicated by Enron on an ongoing basis throughout the Term (defined below) of this Agreement.  Enron reserves the right to take all actions, including termination of any particular Service, that it reasonably believes to be necessary to assure compliance with the foregoing.  Enron shall provide written notice if any such actions will affect the Services.</w:t>
      </w:r>
    </w:p>
    <w:p>
      <w:pPr>
        <w:pStyle w:val="Normal"/>
        <w:suppressAutoHyphens w:val="true"/>
        <w:jc w:val="both"/>
        <w:rPr>
          <w:spacing w:val="-2"/>
        </w:rPr>
      </w:pPr>
      <w:r>
        <w:rPr>
          <w:spacing w:val="-2"/>
        </w:rPr>
      </w:r>
    </w:p>
    <w:p>
      <w:pPr>
        <w:pStyle w:val="Normal"/>
        <w:suppressAutoHyphens w:val="true"/>
        <w:jc w:val="both"/>
        <w:rPr>
          <w:spacing w:val="-2"/>
        </w:rPr>
      </w:pPr>
      <w:r>
        <w:rPr>
          <w:spacing w:val="-2"/>
        </w:rPr>
      </w:r>
    </w:p>
    <w:p>
      <w:pPr>
        <w:pStyle w:val="Heading1"/>
        <w:keepNext w:val="false"/>
        <w:keepLines w:val="false"/>
        <w:ind w:hanging="0" w:start="0"/>
        <w:rPr>
          <w:spacing w:val="-2"/>
          <w:sz w:val="22"/>
        </w:rPr>
      </w:pPr>
      <w:r>
        <w:rPr>
          <w:spacing w:val="-2"/>
          <w:sz w:val="22"/>
        </w:rPr>
      </w:r>
    </w:p>
    <w:p>
      <w:pPr>
        <w:pStyle w:val="Heading1"/>
        <w:keepNext w:val="false"/>
        <w:keepLines w:val="false"/>
        <w:ind w:hanging="0" w:start="0"/>
        <w:rPr>
          <w:sz w:val="22"/>
        </w:rPr>
      </w:pPr>
      <w:r>
        <w:rPr>
          <w:sz w:val="22"/>
        </w:rPr>
        <w:t>SECTION 3.  COMPENSATION</w:t>
      </w:r>
    </w:p>
    <w:p>
      <w:pPr>
        <w:pStyle w:val="Normal"/>
        <w:suppressAutoHyphens w:val="true"/>
        <w:jc w:val="both"/>
        <w:rPr>
          <w:spacing w:val="-2"/>
          <w:sz w:val="22"/>
        </w:rPr>
      </w:pPr>
      <w:r>
        <w:rPr>
          <w:spacing w:val="-2"/>
          <w:sz w:val="22"/>
        </w:rPr>
      </w:r>
    </w:p>
    <w:p>
      <w:pPr>
        <w:pStyle w:val="Normal"/>
        <w:suppressAutoHyphens w:val="true"/>
        <w:jc w:val="both"/>
        <w:rPr/>
      </w:pPr>
      <w:r>
        <w:rPr>
          <w:spacing w:val="-2"/>
        </w:rPr>
        <w:tab/>
        <w:t>3.1</w:t>
        <w:tab/>
      </w:r>
      <w:r>
        <w:rPr>
          <w:b/>
          <w:spacing w:val="-2"/>
          <w:u w:val="single"/>
        </w:rPr>
        <w:t>Price of the Services</w:t>
      </w:r>
      <w:r>
        <w:rPr>
          <w:spacing w:val="-2"/>
        </w:rPr>
        <w:t>.  Company, in consideration for the Services provided by Enron to Company agrees to pay Enron a fee (the “Services Fee”) for each Contract Year (defined below) as follows:</w:t>
      </w:r>
    </w:p>
    <w:p>
      <w:pPr>
        <w:pStyle w:val="Normal"/>
        <w:suppressAutoHyphens w:val="true"/>
        <w:jc w:val="both"/>
        <w:rPr>
          <w:spacing w:val="-2"/>
        </w:rPr>
      </w:pPr>
      <w:r>
        <w:rPr>
          <w:spacing w:val="-2"/>
        </w:rPr>
      </w:r>
    </w:p>
    <w:p>
      <w:pPr>
        <w:pStyle w:val="Normal"/>
        <w:suppressAutoHyphens w:val="true"/>
        <w:jc w:val="both"/>
        <w:rPr>
          <w:spacing w:val="-2"/>
        </w:rPr>
      </w:pPr>
      <w:r>
        <w:rPr>
          <w:spacing w:val="-2"/>
        </w:rPr>
        <w:tab/>
        <w:t>Contract Year*</w:t>
        <w:tab/>
        <w:tab/>
        <w:tab/>
        <w:tab/>
        <w:tab/>
        <w:t xml:space="preserve">Services Fee </w:t>
      </w:r>
    </w:p>
    <w:p>
      <w:pPr>
        <w:pStyle w:val="Normal"/>
        <w:suppressAutoHyphens w:val="true"/>
        <w:jc w:val="both"/>
        <w:rPr>
          <w:spacing w:val="-2"/>
        </w:rPr>
      </w:pPr>
      <w:r>
        <w:rPr>
          <w:spacing w:val="-2"/>
        </w:rPr>
        <w:tab/>
        <w:t>Initial System Installation</w:t>
        <w:tab/>
        <w:tab/>
        <w:tab/>
        <w:t>$ 3.6 Million</w:t>
      </w:r>
    </w:p>
    <w:p>
      <w:pPr>
        <w:pStyle w:val="Normal"/>
        <w:suppressAutoHyphens w:val="true"/>
        <w:jc w:val="both"/>
        <w:rPr>
          <w:spacing w:val="-2"/>
        </w:rPr>
      </w:pPr>
      <w:r>
        <w:rPr>
          <w:spacing w:val="-2"/>
        </w:rPr>
        <w:tab/>
        <w:t>Year 1</w:t>
        <w:tab/>
        <w:tab/>
        <w:tab/>
        <w:tab/>
        <w:tab/>
        <w:tab/>
        <w:t>$ 1.1 Million</w:t>
      </w:r>
    </w:p>
    <w:p>
      <w:pPr>
        <w:pStyle w:val="Normal"/>
        <w:suppressAutoHyphens w:val="true"/>
        <w:jc w:val="both"/>
        <w:rPr>
          <w:spacing w:val="-2"/>
        </w:rPr>
      </w:pPr>
      <w:r>
        <w:rPr>
          <w:spacing w:val="-2"/>
        </w:rPr>
        <w:tab/>
        <w:t>Year 2</w:t>
        <w:tab/>
        <w:tab/>
        <w:tab/>
        <w:tab/>
        <w:tab/>
        <w:tab/>
        <w:t>$ 1.1 Million</w:t>
      </w:r>
    </w:p>
    <w:p>
      <w:pPr>
        <w:pStyle w:val="Normal"/>
        <w:suppressAutoHyphens w:val="true"/>
        <w:ind w:firstLine="720" w:end="0"/>
        <w:jc w:val="both"/>
        <w:rPr>
          <w:spacing w:val="-2"/>
        </w:rPr>
      </w:pPr>
      <w:r>
        <w:rPr>
          <w:spacing w:val="-2"/>
        </w:rPr>
        <w:t>Year 3</w:t>
        <w:tab/>
        <w:tab/>
        <w:tab/>
        <w:tab/>
        <w:tab/>
        <w:tab/>
        <w:t>$ 1.1 Million</w:t>
      </w:r>
    </w:p>
    <w:p>
      <w:pPr>
        <w:pStyle w:val="Normal"/>
        <w:suppressAutoHyphens w:val="true"/>
        <w:jc w:val="both"/>
        <w:rPr>
          <w:spacing w:val="-2"/>
        </w:rPr>
      </w:pPr>
      <w:r>
        <w:rPr>
          <w:spacing w:val="-2"/>
        </w:rPr>
        <w:tab/>
        <w:t>Credit</w:t>
        <w:tab/>
        <w:tab/>
        <w:tab/>
        <w:tab/>
        <w:tab/>
        <w:tab/>
        <w:t>_________</w:t>
      </w:r>
    </w:p>
    <w:p>
      <w:pPr>
        <w:pStyle w:val="Normal"/>
        <w:suppressAutoHyphens w:val="true"/>
        <w:jc w:val="both"/>
        <w:rPr>
          <w:spacing w:val="-2"/>
        </w:rPr>
      </w:pPr>
      <w:r>
        <w:rPr>
          <w:spacing w:val="-2"/>
        </w:rPr>
      </w:r>
    </w:p>
    <w:p>
      <w:pPr>
        <w:pStyle w:val="Normal"/>
        <w:suppressAutoHyphens w:val="true"/>
        <w:jc w:val="both"/>
        <w:rPr>
          <w:spacing w:val="-2"/>
        </w:rPr>
      </w:pPr>
      <w:r>
        <w:rPr>
          <w:spacing w:val="-2"/>
        </w:rPr>
        <w:t>These prices assume that no more than 3Bcf of natural gas transaction in any one day will be processed.  If transactions in excess of this volume are contemplated or occur, the additional volumes will require the payment of additional Services Fees.</w:t>
      </w:r>
    </w:p>
    <w:p>
      <w:pPr>
        <w:pStyle w:val="Normal"/>
        <w:suppressAutoHyphens w:val="true"/>
        <w:jc w:val="both"/>
        <w:rPr>
          <w:spacing w:val="-2"/>
        </w:rPr>
      </w:pPr>
      <w:r>
        <w:rPr>
          <w:spacing w:val="-2"/>
        </w:rPr>
      </w:r>
    </w:p>
    <w:p>
      <w:pPr>
        <w:pStyle w:val="Normal"/>
        <w:suppressAutoHyphens w:val="true"/>
        <w:jc w:val="both"/>
        <w:rPr>
          <w:spacing w:val="-2"/>
        </w:rPr>
      </w:pPr>
      <w:r>
        <w:rPr>
          <w:spacing w:val="-2"/>
        </w:rPr>
        <w:t>“</w:t>
      </w:r>
      <w:r>
        <w:rPr>
          <w:spacing w:val="-2"/>
        </w:rPr>
        <w:t xml:space="preserve">Contract Year” means the twelve-month period following the Effective Date and, thereafter, each twelve-month period following the annual anniversary of the Effective Date.  For each Contract Year during any Renewal Term (defined below), Company agrees that the Services Fee shall automatically increase by 10% of the amount of the Services Fee in effect at the end of the previous </w:t>
      </w:r>
    </w:p>
    <w:p>
      <w:pPr>
        <w:pStyle w:val="Normal"/>
        <w:suppressAutoHyphens w:val="true"/>
        <w:jc w:val="both"/>
        <w:rPr/>
      </w:pPr>
      <w:r>
        <w:rPr>
          <w:spacing w:val="-2"/>
        </w:rPr>
        <w:t xml:space="preserve">Contract Year.  The Services Fee covers only those Services expressly designated as services in </w:t>
      </w:r>
      <w:r>
        <w:rPr>
          <w:spacing w:val="-2"/>
          <w:u w:val="single"/>
        </w:rPr>
        <w:t>Exhibit A</w:t>
      </w:r>
      <w:r>
        <w:rPr>
          <w:spacing w:val="-2"/>
        </w:rPr>
        <w:t>.</w:t>
      </w:r>
    </w:p>
    <w:p>
      <w:pPr>
        <w:pStyle w:val="Normal"/>
        <w:suppressAutoHyphens w:val="true"/>
        <w:jc w:val="both"/>
        <w:rPr>
          <w:spacing w:val="-2"/>
        </w:rPr>
      </w:pPr>
      <w:r>
        <w:rPr>
          <w:spacing w:val="-2"/>
        </w:rPr>
      </w:r>
    </w:p>
    <w:p>
      <w:pPr>
        <w:pStyle w:val="Normal"/>
        <w:suppressAutoHyphens w:val="true"/>
        <w:jc w:val="both"/>
        <w:rPr>
          <w:spacing w:val="-2"/>
        </w:rPr>
      </w:pPr>
      <w:r>
        <w:rPr>
          <w:spacing w:val="-2"/>
        </w:rPr>
      </w:r>
    </w:p>
    <w:p>
      <w:pPr>
        <w:pStyle w:val="Normal"/>
        <w:suppressAutoHyphens w:val="true"/>
        <w:jc w:val="both"/>
        <w:rPr/>
      </w:pPr>
      <w:r>
        <w:rPr>
          <w:spacing w:val="-2"/>
        </w:rPr>
        <w:tab/>
        <w:t>3.2</w:t>
        <w:tab/>
      </w:r>
      <w:r>
        <w:rPr>
          <w:b/>
          <w:spacing w:val="-2"/>
          <w:u w:val="single"/>
        </w:rPr>
        <w:t>Third Party Expenses</w:t>
      </w:r>
      <w:r>
        <w:rPr>
          <w:b/>
          <w:spacing w:val="-2"/>
        </w:rPr>
        <w:t>.</w:t>
      </w:r>
      <w:r>
        <w:rPr>
          <w:spacing w:val="-2"/>
        </w:rPr>
        <w:t xml:space="preserve">  Except for those third-party products and services expressly referenced in Exhibit A as being included within the Services, Company agrees to reimburse Enron for the actual cost incurred by Enron for any goods or materials purchased or software or technology licensed by Enron for use by Company in the course and scope of performance of the Services, and all expenses actually incurred by Enron for outsourced Services or other goods, services or utilities provided by third party providers.  All of the foregoing are hereinafter collectively referred to as “Third-Party Expenses”.  </w:t>
      </w:r>
    </w:p>
    <w:p>
      <w:pPr>
        <w:pStyle w:val="Normal"/>
        <w:suppressAutoHyphens w:val="true"/>
        <w:jc w:val="both"/>
        <w:rPr>
          <w:spacing w:val="-2"/>
        </w:rPr>
      </w:pPr>
      <w:r>
        <w:rPr>
          <w:spacing w:val="-2"/>
        </w:rPr>
      </w:r>
    </w:p>
    <w:p>
      <w:pPr>
        <w:pStyle w:val="Normal"/>
        <w:suppressAutoHyphens w:val="true"/>
        <w:jc w:val="both"/>
        <w:rPr>
          <w:spacing w:val="-2"/>
        </w:rPr>
      </w:pPr>
      <w:r>
        <w:rPr>
          <w:spacing w:val="-2"/>
        </w:rPr>
      </w:r>
    </w:p>
    <w:p>
      <w:pPr>
        <w:pStyle w:val="Heading1"/>
        <w:keepNext w:val="false"/>
        <w:keepLines w:val="false"/>
        <w:ind w:hanging="0" w:start="0"/>
        <w:rPr>
          <w:sz w:val="22"/>
        </w:rPr>
      </w:pPr>
      <w:r>
        <w:rPr>
          <w:sz w:val="22"/>
        </w:rPr>
        <w:t>SECTION 4.  PAYMENT OF CHARGES AND REIMBURSEMENTS</w:t>
      </w:r>
    </w:p>
    <w:p>
      <w:pPr>
        <w:pStyle w:val="Normal"/>
        <w:suppressAutoHyphens w:val="true"/>
        <w:jc w:val="both"/>
        <w:rPr>
          <w:spacing w:val="-2"/>
          <w:sz w:val="22"/>
        </w:rPr>
      </w:pPr>
      <w:r>
        <w:rPr>
          <w:spacing w:val="-2"/>
          <w:sz w:val="22"/>
        </w:rPr>
      </w:r>
    </w:p>
    <w:p>
      <w:pPr>
        <w:pStyle w:val="Normal"/>
        <w:jc w:val="both"/>
        <w:rPr/>
      </w:pPr>
      <w:r>
        <w:rPr>
          <w:spacing w:val="-2"/>
        </w:rPr>
        <w:tab/>
        <w:t>4.1</w:t>
        <w:tab/>
      </w:r>
      <w:r>
        <w:rPr>
          <w:b/>
          <w:spacing w:val="-2"/>
          <w:u w:val="single"/>
        </w:rPr>
        <w:t>Payment for Services</w:t>
      </w:r>
      <w:r>
        <w:rPr>
          <w:b/>
          <w:spacing w:val="-2"/>
        </w:rPr>
        <w:t xml:space="preserve">. </w:t>
      </w:r>
      <w:r>
        <w:rPr/>
        <w:t xml:space="preserve"> The Services Fee shall be payable quarterly in advance.  Accordingly, on or before the  first day of each Contract Quarter during the Term, Company shall pay Enron an amount equal to one-fourth of the Services Fee.  “Contract Quarter” means the three-month period following the Effective Date and each three-month period thereafter during the Term.  On a monthly basis, Enron shall provide Company with a detailed written invoice for Third-Party Expenses incurred by Enron during the preceding month and other charges due Enron hereunder, if any.  Company shall remit any amounts due on or before the 20</w:t>
      </w:r>
      <w:r>
        <w:rPr>
          <w:vertAlign w:val="superscript"/>
        </w:rPr>
        <w:t>th</w:t>
      </w:r>
      <w:r>
        <w:rPr/>
        <w:t xml:space="preserve"> day after the receipt of Enron’s invoice. If Company fails to pay any payment or other sum when due, Company also shall pay to Enron interest thereon from the due date thereof to the date of payment at a rate equal to the lesser of (a) 12% per annum or (b) the maximum rate permitted by applicable law.  All payments hereunder shall be payable by wire transfer to the account of Enron set forth below, or at such other place or account as Enron may from time to time designate in writing.</w:t>
      </w:r>
    </w:p>
    <w:p>
      <w:pPr>
        <w:pStyle w:val="Normal"/>
        <w:rPr/>
      </w:pPr>
      <w:r>
        <w:rPr/>
      </w:r>
    </w:p>
    <w:p>
      <w:pPr>
        <w:pStyle w:val="Normal"/>
        <w:rPr/>
      </w:pPr>
      <w:r>
        <w:rPr/>
        <w:t>Bank of America</w:t>
      </w:r>
    </w:p>
    <w:p>
      <w:pPr>
        <w:pStyle w:val="Normal"/>
        <w:rPr/>
      </w:pPr>
      <w:r>
        <w:rPr/>
        <w:t>ABA No. 111 000012</w:t>
      </w:r>
    </w:p>
    <w:p>
      <w:pPr>
        <w:pStyle w:val="Normal"/>
        <w:rPr/>
      </w:pPr>
      <w:r>
        <w:rPr/>
        <w:t>Account No. 3750469477</w:t>
      </w:r>
    </w:p>
    <w:p>
      <w:pPr>
        <w:pStyle w:val="Normal"/>
        <w:suppressAutoHyphens w:val="true"/>
        <w:jc w:val="both"/>
        <w:rPr>
          <w:spacing w:val="-2"/>
        </w:rPr>
      </w:pPr>
      <w:r>
        <w:rPr>
          <w:spacing w:val="-2"/>
        </w:rPr>
      </w:r>
    </w:p>
    <w:p>
      <w:pPr>
        <w:pStyle w:val="Heading1"/>
        <w:keepNext w:val="false"/>
        <w:keepLines w:val="false"/>
        <w:ind w:hanging="0" w:start="0"/>
        <w:rPr>
          <w:sz w:val="22"/>
        </w:rPr>
      </w:pPr>
      <w:r>
        <w:rPr>
          <w:sz w:val="22"/>
        </w:rPr>
        <w:t>SECTION 5.  RECORDS AND AUDITS</w:t>
      </w:r>
    </w:p>
    <w:p>
      <w:pPr>
        <w:pStyle w:val="Normal"/>
        <w:suppressAutoHyphens w:val="true"/>
        <w:jc w:val="both"/>
        <w:rPr>
          <w:spacing w:val="-2"/>
          <w:sz w:val="22"/>
        </w:rPr>
      </w:pPr>
      <w:r>
        <w:rPr>
          <w:spacing w:val="-2"/>
          <w:sz w:val="22"/>
        </w:rPr>
      </w:r>
    </w:p>
    <w:p>
      <w:pPr>
        <w:pStyle w:val="Normal"/>
        <w:suppressAutoHyphens w:val="true"/>
        <w:jc w:val="both"/>
        <w:rPr>
          <w:spacing w:val="-2"/>
        </w:rPr>
      </w:pPr>
      <w:r>
        <w:rPr>
          <w:spacing w:val="-2"/>
        </w:rPr>
        <w:tab/>
        <w:t>For at least two years after the termination of any Service or of this Agreement, as well as for the time period required by applicable laws, each party shall maintain records and other evidence sufficient to accurately and properly reflect the performance of the Services and the amounts due in accordance with this Agreement.  Each party or its representatives shall have access at all reasonable times during business hours to such records for the purpose of auditing and verifying the accuracy of the invoices.  Any audits performed by or on behalf of a party shall be at that party’s sole cost and expense.  Each party shall have the right to audit the other party’s books for a period of two years after the termination of this Agreement for the purpose of verifying the accuracy of the invoices, except in those circumstances where contracts with third parties limit the audit period to less than two years.</w:t>
      </w:r>
    </w:p>
    <w:p>
      <w:pPr>
        <w:pStyle w:val="Heading1"/>
        <w:keepNext w:val="false"/>
        <w:keepLines w:val="false"/>
        <w:ind w:hanging="0" w:start="0"/>
        <w:rPr>
          <w:spacing w:val="-2"/>
          <w:sz w:val="22"/>
        </w:rPr>
      </w:pPr>
      <w:r>
        <w:rPr>
          <w:spacing w:val="-2"/>
          <w:sz w:val="22"/>
        </w:rPr>
      </w:r>
    </w:p>
    <w:p>
      <w:pPr>
        <w:pStyle w:val="Heading1"/>
        <w:keepNext w:val="false"/>
        <w:keepLines w:val="false"/>
        <w:ind w:hanging="0" w:start="0"/>
        <w:rPr>
          <w:sz w:val="22"/>
        </w:rPr>
      </w:pPr>
      <w:r>
        <w:rPr>
          <w:sz w:val="22"/>
        </w:rPr>
        <w:t>SECTION 6.  TERMINATION; CANCELLATION OR REDUCTION OF SERVICES</w:t>
      </w:r>
    </w:p>
    <w:p>
      <w:pPr>
        <w:pStyle w:val="Normal"/>
        <w:suppressAutoHyphens w:val="true"/>
        <w:jc w:val="both"/>
        <w:rPr>
          <w:spacing w:val="-2"/>
          <w:sz w:val="22"/>
        </w:rPr>
      </w:pPr>
      <w:r>
        <w:rPr>
          <w:spacing w:val="-2"/>
          <w:sz w:val="22"/>
        </w:rPr>
      </w:r>
    </w:p>
    <w:p>
      <w:pPr>
        <w:pStyle w:val="Normal"/>
        <w:suppressAutoHyphens w:val="true"/>
        <w:jc w:val="both"/>
        <w:rPr/>
      </w:pPr>
      <w:r>
        <w:rPr>
          <w:spacing w:val="-2"/>
        </w:rPr>
        <w:tab/>
        <w:t>6.1</w:t>
        <w:tab/>
      </w:r>
      <w:r>
        <w:rPr>
          <w:b/>
          <w:spacing w:val="-2"/>
          <w:u w:val="single"/>
        </w:rPr>
        <w:t>Term of Agreement</w:t>
      </w:r>
      <w:r>
        <w:rPr>
          <w:spacing w:val="-2"/>
        </w:rPr>
        <w:t xml:space="preserve">.  The initial term (the “Initial Term”) of this Agreement shall commence as of the Effective Date and unless sooner terminated in accordance with the terms of this Agreement, shall terminate three (3) years after the Effective Date.  At any time after one (1) year after the Effective Date, either party may terminate this Agreement for any reason whatsoever or for no reason by giving the other party at least six months prior written notice to that effect.  If this Agreement has not been terminated in accordance with the terms hereof, then this Agreement shall automatically renew for periods of one year (each, a “Renewal Term”).  The Initial Term and any Renewal Terms are collectively referred to herein as the “Term”.  Within 20 days after termination, Company shall pay for all charges determined pursuant to </w:t>
      </w:r>
      <w:r>
        <w:rPr>
          <w:spacing w:val="-2"/>
          <w:u w:val="single"/>
        </w:rPr>
        <w:t>Section 4</w:t>
      </w:r>
      <w:r>
        <w:rPr>
          <w:spacing w:val="-2"/>
        </w:rPr>
        <w:t xml:space="preserve"> and incurred up to the date of termination.  </w:t>
      </w:r>
    </w:p>
    <w:p>
      <w:pPr>
        <w:pStyle w:val="Normal"/>
        <w:suppressAutoHyphens w:val="true"/>
        <w:jc w:val="both"/>
        <w:rPr>
          <w:spacing w:val="-2"/>
        </w:rPr>
      </w:pPr>
      <w:r>
        <w:rPr>
          <w:spacing w:val="-2"/>
        </w:rPr>
      </w:r>
    </w:p>
    <w:p>
      <w:pPr>
        <w:pStyle w:val="Normal"/>
        <w:suppressAutoHyphens w:val="true"/>
        <w:jc w:val="both"/>
        <w:rPr/>
      </w:pPr>
      <w:r>
        <w:rPr>
          <w:spacing w:val="-2"/>
        </w:rPr>
        <w:tab/>
        <w:t>6.2</w:t>
        <w:tab/>
      </w:r>
      <w:r>
        <w:rPr>
          <w:b/>
          <w:spacing w:val="-2"/>
          <w:u w:val="single"/>
        </w:rPr>
        <w:t>Termination for Non-Payment</w:t>
      </w:r>
      <w:r>
        <w:rPr>
          <w:b/>
          <w:spacing w:val="-2"/>
        </w:rPr>
        <w:t xml:space="preserve">. </w:t>
      </w:r>
      <w:r>
        <w:rPr>
          <w:spacing w:val="-2"/>
        </w:rPr>
        <w:t xml:space="preserve"> </w:t>
      </w:r>
      <w:r>
        <w:rPr/>
        <w:t>If Company fails to pay any amounts due hereunder within ten (10) days after receiving written notice specifying such failure, then Enron may, by giving Company at least thirty (30) days advance written notice thereof, terminate this Agreement as of the date specified in such notice.</w:t>
      </w:r>
    </w:p>
    <w:p>
      <w:pPr>
        <w:pStyle w:val="Normal"/>
        <w:suppressAutoHyphens w:val="true"/>
        <w:jc w:val="both"/>
        <w:rPr>
          <w:spacing w:val="-2"/>
        </w:rPr>
      </w:pPr>
      <w:r>
        <w:rPr>
          <w:spacing w:val="-2"/>
        </w:rPr>
      </w:r>
    </w:p>
    <w:p>
      <w:pPr>
        <w:pStyle w:val="Normal"/>
        <w:suppressAutoHyphens w:val="true"/>
        <w:jc w:val="both"/>
        <w:rPr/>
      </w:pPr>
      <w:r>
        <w:rPr>
          <w:spacing w:val="-2"/>
        </w:rPr>
        <w:tab/>
        <w:t>6.3</w:t>
        <w:tab/>
      </w:r>
      <w:r>
        <w:rPr>
          <w:b/>
          <w:spacing w:val="-2"/>
          <w:u w:val="single"/>
        </w:rPr>
        <w:t>Termination for Cause</w:t>
      </w:r>
      <w:r>
        <w:rPr>
          <w:b/>
          <w:spacing w:val="-2"/>
        </w:rPr>
        <w:t>.</w:t>
      </w:r>
      <w:r>
        <w:rPr>
          <w:spacing w:val="-2"/>
        </w:rPr>
        <w:t xml:space="preserve"> </w:t>
      </w:r>
      <w:r>
        <w:rPr/>
        <w:t>If either party materially defaults in its performance under this Agreement (except for nonpayment of amounts due to Enron which is governed by Section 6.2), and fails either substantially to cure such default within thirty (30) days after receiving written notice specifying the default or, for those defaults that cannot reasonably be cured within thirty (30) days, promptly to commence curing such default and thereafter proceed with all due diligence substantially to cure the default, then the party not in default may terminate this Agreement by written notice to the defaulting party.</w:t>
      </w:r>
    </w:p>
    <w:p>
      <w:pPr>
        <w:pStyle w:val="Normal"/>
        <w:suppressAutoHyphens w:val="true"/>
        <w:jc w:val="both"/>
        <w:rPr>
          <w:spacing w:val="-2"/>
        </w:rPr>
      </w:pPr>
      <w:r>
        <w:rPr>
          <w:spacing w:val="-2"/>
        </w:rPr>
      </w:r>
    </w:p>
    <w:p>
      <w:pPr>
        <w:pStyle w:val="Heading1"/>
        <w:ind w:hanging="0" w:start="0"/>
        <w:rPr>
          <w:sz w:val="22"/>
        </w:rPr>
      </w:pPr>
      <w:r>
        <w:rPr>
          <w:sz w:val="22"/>
        </w:rPr>
        <w:t>SECTION 7.  INDEMNIFICATION; LIMITATION OF LIABILITY; DISCLAIMERS</w:t>
      </w:r>
    </w:p>
    <w:p>
      <w:pPr>
        <w:pStyle w:val="Normal"/>
        <w:keepNext w:val="true"/>
        <w:keepLines/>
        <w:suppressAutoHyphens w:val="true"/>
        <w:jc w:val="both"/>
        <w:rPr>
          <w:spacing w:val="-2"/>
          <w:sz w:val="22"/>
        </w:rPr>
      </w:pPr>
      <w:r>
        <w:rPr>
          <w:spacing w:val="-2"/>
          <w:sz w:val="22"/>
        </w:rPr>
      </w:r>
    </w:p>
    <w:p>
      <w:pPr>
        <w:pStyle w:val="Normal"/>
        <w:keepNext w:val="true"/>
        <w:keepLines/>
        <w:suppressAutoHyphens w:val="true"/>
        <w:ind w:firstLine="720" w:end="0"/>
        <w:jc w:val="both"/>
        <w:rPr/>
      </w:pPr>
      <w:r>
        <w:rPr/>
        <w:t>7.1</w:t>
        <w:tab/>
      </w:r>
      <w:r>
        <w:rPr>
          <w:b/>
          <w:u w:val="single"/>
        </w:rPr>
        <w:t>Indemnity for Enron.</w:t>
      </w:r>
      <w:r>
        <w:rPr/>
        <w:t xml:space="preserve">  </w:t>
      </w:r>
      <w:r>
        <w:rPr>
          <w:b/>
          <w:caps/>
          <w:spacing w:val="-2"/>
        </w:rPr>
        <w:t>Company agrees to release, protect, defend, indemnify, and hold harmless Enron and its employees, officers, directors, agents and representatives, at Company’s cost and expense, from and against any and all claims, demands or causes of action (collectively, "</w:t>
      </w:r>
      <w:r>
        <w:rPr>
          <w:b/>
          <w:caps/>
          <w:spacing w:val="-2"/>
          <w:u w:val="single"/>
        </w:rPr>
        <w:t>claims</w:t>
      </w:r>
      <w:r>
        <w:rPr>
          <w:b/>
          <w:caps/>
          <w:spacing w:val="-2"/>
        </w:rPr>
        <w:t xml:space="preserve">") arising out of the Services provided under this Agreement, EXCEPT to the extent that such CLAIMS ARISE AS A result OF THE GROSS NEGLIGENCE OR WILLFUL MISCONDUCT OF Enron.  company will reimburse Enron for any and all costs, liabilities, judgments, and expenses (including attorneys’ fees and costS) reasonably incurred by Enron in connection with the investigating, preparing for, and defending against any such claim, whether or not resulting in any liability, and any amount paid in settlement of any litigation, commenced or threatened, or of any such claim if such settlement is effected with the written consent of Company.  </w:t>
      </w:r>
    </w:p>
    <w:p>
      <w:pPr>
        <w:pStyle w:val="Normal"/>
        <w:widowControl w:val="false"/>
        <w:jc w:val="both"/>
        <w:rPr>
          <w:b/>
          <w:caps/>
          <w:spacing w:val="-2"/>
        </w:rPr>
      </w:pPr>
      <w:r>
        <w:rPr>
          <w:b/>
          <w:caps/>
          <w:spacing w:val="-2"/>
        </w:rPr>
      </w:r>
    </w:p>
    <w:p>
      <w:pPr>
        <w:pStyle w:val="Normal"/>
        <w:widowControl w:val="false"/>
        <w:jc w:val="both"/>
        <w:rPr/>
      </w:pPr>
      <w:r>
        <w:rPr/>
        <w:tab/>
        <w:t>7.2</w:t>
        <w:tab/>
      </w:r>
      <w:r>
        <w:rPr>
          <w:b/>
          <w:color w:val="000000"/>
          <w:u w:val="single"/>
        </w:rPr>
        <w:t>Limitation of Liability</w:t>
      </w:r>
      <w:r>
        <w:rPr>
          <w:b/>
          <w:color w:val="000000"/>
        </w:rPr>
        <w:t>.</w:t>
      </w:r>
      <w:r>
        <w:rPr>
          <w:color w:val="000000"/>
        </w:rPr>
        <w:t xml:space="preserve">  </w:t>
      </w:r>
      <w:r>
        <w:rPr>
          <w:b/>
          <w:caps/>
          <w:color w:val="000000"/>
        </w:rPr>
        <w:t>If ENRON becomes liable to Company under this Agreement for any reason, whether arising by negligence, intended conduct or otherwise, such liability shall not exceed in the aggregate for all events THE SERVICES FEE paid to ENRON hereunder FOR THE MOST CURRENT CONTRACT YEAR DURING WHICH ANY OF SUCH EVENTS OCCURRED</w:t>
      </w:r>
      <w:r>
        <w:rPr>
          <w:caps/>
          <w:color w:val="000000"/>
        </w:rPr>
        <w:t>.</w:t>
      </w:r>
    </w:p>
    <w:p>
      <w:pPr>
        <w:pStyle w:val="Normal"/>
        <w:widowControl w:val="false"/>
        <w:jc w:val="both"/>
        <w:rPr>
          <w:caps/>
          <w:color w:val="000000"/>
        </w:rPr>
      </w:pPr>
      <w:r>
        <w:rPr>
          <w:caps/>
          <w:color w:val="000000"/>
        </w:rPr>
      </w:r>
    </w:p>
    <w:p>
      <w:pPr>
        <w:pStyle w:val="Normal"/>
        <w:widowControl w:val="false"/>
        <w:jc w:val="both"/>
        <w:rPr/>
      </w:pPr>
      <w:r>
        <w:rPr>
          <w:caps/>
          <w:color w:val="000000"/>
        </w:rPr>
        <w:tab/>
        <w:t>7.3</w:t>
      </w:r>
      <w:r>
        <w:rPr>
          <w:color w:val="000000"/>
        </w:rPr>
        <w:t xml:space="preserve"> </w:t>
      </w:r>
      <w:r>
        <w:rPr>
          <w:b/>
          <w:color w:val="000000"/>
          <w:u w:val="single"/>
        </w:rPr>
        <w:t>Warranty</w:t>
      </w:r>
      <w:r>
        <w:rPr>
          <w:color w:val="000000"/>
        </w:rPr>
        <w:t xml:space="preserve">.  </w:t>
      </w:r>
      <w:r>
        <w:rPr>
          <w:b/>
          <w:color w:val="000000"/>
        </w:rPr>
        <w:t>EXCEPT AS EXPRESSLY PROVIDED HEREIN, ENRON DISCLAIMS ALL OTHER WARRANTIES, EXPRESS OR IMPLIED, IN FACT OR BY OPERATION OF LAW OR OTHERWISE, CONTAINED IN OR DERIVED FROM THIS AGREEMENT, ANY OF THE EXHIBITS ATTACHED HERETO OR IN ANY OTHER MATERIALS, BROCHURES, PRESENTATIONS OR OTHER DOCUMENTS OR COMMUNICATIONS WHETHER ORAL OR WRITTEN, INCLUDING WITHOUT LIMITATION IMPLIED WARRANTIES OF MERCHANTABILITY OR FITNESS FOR A PARTICULAR PURPOSE.</w:t>
      </w:r>
    </w:p>
    <w:p>
      <w:pPr>
        <w:pStyle w:val="Normal"/>
        <w:widowControl w:val="false"/>
        <w:jc w:val="both"/>
        <w:rPr>
          <w:b/>
          <w:color w:val="000000"/>
        </w:rPr>
      </w:pPr>
      <w:r>
        <w:rPr>
          <w:b/>
          <w:color w:val="000000"/>
        </w:rPr>
      </w:r>
    </w:p>
    <w:p>
      <w:pPr>
        <w:pStyle w:val="Normal"/>
        <w:widowControl w:val="false"/>
        <w:ind w:firstLine="720" w:end="0"/>
        <w:jc w:val="both"/>
        <w:rPr>
          <w:caps/>
          <w:color w:val="000000"/>
        </w:rPr>
      </w:pPr>
      <w:r>
        <w:rPr/>
        <w:t>7.4</w:t>
        <w:tab/>
      </w:r>
      <w:r>
        <w:rPr>
          <w:b/>
          <w:u w:val="single"/>
        </w:rPr>
        <w:t>No Special Damages</w:t>
      </w:r>
      <w:r>
        <w:rPr>
          <w:b/>
        </w:rPr>
        <w:t>. IN NO EVENT SHALL EITHER PARTY BE LIABLE TO THE OTHER FOR (A) ANY DAMAGES ARISING OUT OF THE OTHER PARTY’S GROSS NEGLIGENCE OR WILFULL MISCONDUCT OR (B) ANY INDIRECT, INCIDENTAL, EXEMPLARY CONSEQUENTIAL, SPECIAL OR PUNITIVE DAMAGES ARISING OUT OF THIS AGREEMENT OR ANY BREACH THEREOF.</w:t>
      </w:r>
    </w:p>
    <w:p>
      <w:pPr>
        <w:pStyle w:val="Normal"/>
        <w:widowControl w:val="false"/>
        <w:jc w:val="both"/>
        <w:rPr>
          <w:caps/>
          <w:color w:val="000000"/>
        </w:rPr>
      </w:pPr>
      <w:r>
        <w:rPr>
          <w:caps/>
          <w:color w:val="000000"/>
        </w:rPr>
      </w:r>
    </w:p>
    <w:p>
      <w:pPr>
        <w:pStyle w:val="Normal"/>
        <w:widowControl w:val="false"/>
        <w:ind w:firstLine="720" w:end="0"/>
        <w:jc w:val="both"/>
        <w:rPr>
          <w:b/>
          <w:caps/>
          <w:spacing w:val="-2"/>
        </w:rPr>
      </w:pPr>
      <w:r>
        <w:rPr/>
        <w:t>7.5</w:t>
      </w:r>
      <w:r>
        <w:rPr>
          <w:b/>
        </w:rPr>
        <w:tab/>
      </w:r>
      <w:r>
        <w:rPr>
          <w:b/>
          <w:u w:val="single"/>
        </w:rPr>
        <w:t>Savings Clause.</w:t>
      </w:r>
      <w:r>
        <w:rPr/>
        <w:t xml:space="preserve">  The parties hereto agree that the indemnities and limitations of liability in this Agreement shall be effective only to the maximum extent, scope, or amount permitted by applicable law, and should be so construed, interpreted, or enforced.  If any provision or portion of the indemnity or limitation language in this Agreement is determined to exceed the extent, scope, or amount permitted by the applicable law, or found to be void, unenforceable, or against public policy, the language in this Agreement shall be construed, interpreted, or enforced so as to preserve to the maximum extent, scope or amount possible, the indemnity or limitation which is permitted by the applicable law.  Only those portions found to be void, unenforceable, or against public policy shall be deleted and the remainder of the language shall be read and enforced to the fullest extent possible under the applicable law. </w:t>
      </w:r>
    </w:p>
    <w:p>
      <w:pPr>
        <w:pStyle w:val="Normal"/>
        <w:jc w:val="both"/>
        <w:rPr>
          <w:b/>
          <w:caps/>
          <w:spacing w:val="-2"/>
        </w:rPr>
      </w:pPr>
      <w:r>
        <w:rPr>
          <w:b/>
          <w:caps/>
          <w:spacing w:val="-2"/>
        </w:rPr>
      </w:r>
    </w:p>
    <w:p>
      <w:pPr>
        <w:pStyle w:val="Normal"/>
        <w:jc w:val="both"/>
        <w:rPr>
          <w:b/>
          <w:caps/>
          <w:spacing w:val="-2"/>
        </w:rPr>
      </w:pPr>
      <w:r>
        <w:rPr>
          <w:b/>
          <w:caps/>
          <w:spacing w:val="-2"/>
        </w:rPr>
      </w:r>
    </w:p>
    <w:p>
      <w:pPr>
        <w:pStyle w:val="Normal"/>
        <w:keepNext w:val="true"/>
        <w:keepLines/>
        <w:suppressAutoHyphens w:val="true"/>
        <w:jc w:val="both"/>
        <w:rPr>
          <w:spacing w:val="-2"/>
        </w:rPr>
      </w:pPr>
      <w:r>
        <w:rPr>
          <w:b/>
          <w:spacing w:val="-2"/>
        </w:rPr>
        <w:t>SECTION 8.  CHANGE OF CONTROL</w:t>
      </w:r>
    </w:p>
    <w:p>
      <w:pPr>
        <w:pStyle w:val="Normal"/>
        <w:suppressAutoHyphens w:val="true"/>
        <w:jc w:val="both"/>
        <w:rPr>
          <w:caps/>
          <w:spacing w:val="-2"/>
        </w:rPr>
      </w:pPr>
      <w:r>
        <w:rPr>
          <w:caps/>
          <w:spacing w:val="-2"/>
        </w:rPr>
      </w:r>
    </w:p>
    <w:p>
      <w:pPr>
        <w:pStyle w:val="Normal"/>
        <w:suppressAutoHyphens w:val="true"/>
        <w:jc w:val="both"/>
        <w:rPr>
          <w:b/>
          <w:i/>
          <w:i/>
          <w:spacing w:val="-2"/>
        </w:rPr>
      </w:pPr>
      <w:r>
        <w:rPr>
          <w:b/>
          <w:spacing w:val="-2"/>
        </w:rPr>
        <w:tab/>
      </w:r>
      <w:r>
        <w:rPr>
          <w:spacing w:val="-2"/>
        </w:rPr>
        <w:t xml:space="preserve">Upon a Change of Control (as defined below) of Company, Enron may terminate this Agreement upon thirty (30) days prior written notice provided that Company may require Enron to continue to provide the Services for a period of six months after such Change of Control, and Enron shall assist Company in the transition of such Services during such six month period with all of the foregoing being provided by Enron subject to the terms and conditions of this Agreement.  For purposes of this </w:t>
      </w:r>
      <w:r>
        <w:rPr>
          <w:spacing w:val="-2"/>
          <w:u w:val="single"/>
        </w:rPr>
        <w:t>Section 8</w:t>
      </w:r>
      <w:r>
        <w:rPr>
          <w:spacing w:val="-2"/>
        </w:rPr>
        <w:t xml:space="preserve">, “Change of Control” shall mean the sale to a third party of all or substantially all of the assets or equity interests of the Company. </w:t>
      </w:r>
    </w:p>
    <w:p>
      <w:pPr>
        <w:pStyle w:val="Normal"/>
        <w:suppressAutoHyphens w:val="true"/>
        <w:jc w:val="both"/>
        <w:rPr>
          <w:b/>
          <w:i/>
          <w:i/>
          <w:spacing w:val="-2"/>
        </w:rPr>
      </w:pPr>
      <w:r>
        <w:rPr>
          <w:b/>
          <w:i/>
          <w:spacing w:val="-2"/>
        </w:rPr>
      </w:r>
    </w:p>
    <w:p>
      <w:pPr>
        <w:pStyle w:val="Normal"/>
        <w:keepNext w:val="true"/>
        <w:keepLines/>
        <w:suppressAutoHyphens w:val="true"/>
        <w:jc w:val="both"/>
        <w:rPr>
          <w:b/>
          <w:spacing w:val="-2"/>
        </w:rPr>
      </w:pPr>
      <w:r>
        <w:rPr>
          <w:b/>
          <w:spacing w:val="-2"/>
        </w:rPr>
        <w:t>SECTION 9.  MISCELLANEOUS</w:t>
      </w:r>
    </w:p>
    <w:p>
      <w:pPr>
        <w:pStyle w:val="Normal"/>
        <w:keepNext w:val="true"/>
        <w:keepLines/>
        <w:suppressAutoHyphens w:val="true"/>
        <w:jc w:val="both"/>
        <w:rPr>
          <w:b/>
          <w:spacing w:val="-2"/>
        </w:rPr>
      </w:pPr>
      <w:r>
        <w:rPr>
          <w:b/>
          <w:spacing w:val="-2"/>
        </w:rPr>
      </w:r>
    </w:p>
    <w:p>
      <w:pPr>
        <w:pStyle w:val="Normal"/>
        <w:suppressAutoHyphens w:val="true"/>
        <w:jc w:val="both"/>
        <w:rPr/>
      </w:pPr>
      <w:r>
        <w:rPr>
          <w:b/>
          <w:spacing w:val="-2"/>
        </w:rPr>
        <w:tab/>
      </w:r>
      <w:r>
        <w:rPr>
          <w:spacing w:val="-2"/>
        </w:rPr>
        <w:t>9.1</w:t>
      </w:r>
      <w:r>
        <w:rPr>
          <w:b/>
          <w:spacing w:val="-2"/>
        </w:rPr>
        <w:tab/>
      </w:r>
      <w:r>
        <w:rPr>
          <w:b/>
          <w:spacing w:val="-2"/>
          <w:u w:val="single"/>
        </w:rPr>
        <w:t>Independent Contractor</w:t>
      </w:r>
      <w:r>
        <w:rPr>
          <w:spacing w:val="-2"/>
        </w:rPr>
        <w:t xml:space="preserve">.  </w:t>
      </w:r>
    </w:p>
    <w:p>
      <w:pPr>
        <w:pStyle w:val="Normal"/>
        <w:suppressAutoHyphens w:val="true"/>
        <w:jc w:val="both"/>
        <w:rPr>
          <w:b/>
          <w:spacing w:val="-2"/>
          <w:u w:val="single"/>
        </w:rPr>
      </w:pPr>
      <w:r>
        <w:rPr>
          <w:b/>
          <w:spacing w:val="-2"/>
          <w:u w:val="single"/>
        </w:rPr>
      </w:r>
    </w:p>
    <w:p>
      <w:pPr>
        <w:pStyle w:val="Normal"/>
        <w:suppressAutoHyphens w:val="true"/>
        <w:jc w:val="both"/>
        <w:rPr>
          <w:spacing w:val="-2"/>
        </w:rPr>
      </w:pPr>
      <w:r>
        <w:rPr>
          <w:spacing w:val="-2"/>
        </w:rPr>
        <w:tab/>
        <w:tab/>
        <w:t>(a)</w:t>
        <w:tab/>
        <w:t>The Services performed by Enron shall be as an independent contractor.</w:t>
      </w:r>
    </w:p>
    <w:p>
      <w:pPr>
        <w:pStyle w:val="Normal"/>
        <w:suppressAutoHyphens w:val="true"/>
        <w:jc w:val="both"/>
        <w:rPr>
          <w:spacing w:val="-2"/>
        </w:rPr>
      </w:pPr>
      <w:r>
        <w:rPr>
          <w:spacing w:val="-2"/>
        </w:rPr>
      </w:r>
    </w:p>
    <w:p>
      <w:pPr>
        <w:pStyle w:val="Normal"/>
        <w:suppressAutoHyphens w:val="true"/>
        <w:jc w:val="both"/>
        <w:rPr>
          <w:spacing w:val="-2"/>
        </w:rPr>
      </w:pPr>
      <w:r>
        <w:rPr>
          <w:spacing w:val="-2"/>
        </w:rPr>
        <w:tab/>
        <w:tab/>
        <w:t>(b)</w:t>
        <w:tab/>
        <w:t>In its capacity as provider of the Services under this Agreement, Enron is not an agent, partner, or joint venturer of Company, and nothing in this Agreement will cause Enron to be an agent, partner, or joint venturer of Company.</w:t>
      </w:r>
    </w:p>
    <w:p>
      <w:pPr>
        <w:pStyle w:val="Normal"/>
        <w:suppressAutoHyphens w:val="true"/>
        <w:jc w:val="both"/>
        <w:rPr>
          <w:spacing w:val="-2"/>
        </w:rPr>
      </w:pPr>
      <w:r>
        <w:rPr>
          <w:spacing w:val="-2"/>
        </w:rPr>
      </w:r>
    </w:p>
    <w:p>
      <w:pPr>
        <w:pStyle w:val="Normal"/>
        <w:suppressAutoHyphens w:val="true"/>
        <w:ind w:firstLine="1440" w:end="0"/>
        <w:jc w:val="both"/>
        <w:rPr>
          <w:spacing w:val="-2"/>
        </w:rPr>
      </w:pPr>
      <w:r>
        <w:rPr/>
        <w:t>(c)</w:t>
        <w:tab/>
        <w:t>Company shall be responsible for payment of all sales, excise or use taxes arising out of Enron’s activities under this Agreement but not any  tax assessed based on Enron’s net income.</w:t>
      </w:r>
    </w:p>
    <w:p>
      <w:pPr>
        <w:pStyle w:val="Normal"/>
        <w:suppressAutoHyphens w:val="true"/>
        <w:jc w:val="both"/>
        <w:rPr>
          <w:spacing w:val="-2"/>
        </w:rPr>
      </w:pPr>
      <w:r>
        <w:rPr>
          <w:spacing w:val="-2"/>
        </w:rPr>
      </w:r>
    </w:p>
    <w:p>
      <w:pPr>
        <w:pStyle w:val="Normal"/>
        <w:jc w:val="both"/>
        <w:rPr/>
      </w:pPr>
      <w:r>
        <w:rPr>
          <w:spacing w:val="-2"/>
        </w:rPr>
        <w:tab/>
        <w:t>9.2</w:t>
        <w:tab/>
      </w:r>
      <w:r>
        <w:rPr>
          <w:b/>
          <w:spacing w:val="-2"/>
          <w:u w:val="single"/>
        </w:rPr>
        <w:t>Assignment</w:t>
      </w:r>
      <w:r>
        <w:rPr>
          <w:spacing w:val="-2"/>
        </w:rPr>
        <w:t xml:space="preserve">.  </w:t>
      </w:r>
      <w:r>
        <w:rPr/>
        <w:t>This Agreement, including, without limitation, the indemnification provisions, shall inure to and bind the permitted successors and assigns of the parties hereto; provided, neither party shall assign or transfer this Agreement, in whole or in part, without the prior written approval of the other party in its sole discretion; provided further, however, that Enron may transfer its interest to any parent or affiliate by assignment, merger or otherwise without the prior approval of the Company.  A transfer in violation hereof shall be void.  Nothing herein shall be construed as limiting Enron’s rights to subcontract the Services.</w:t>
      </w:r>
    </w:p>
    <w:p>
      <w:pPr>
        <w:pStyle w:val="Normal"/>
        <w:suppressAutoHyphens w:val="true"/>
        <w:jc w:val="both"/>
        <w:rPr>
          <w:spacing w:val="-2"/>
        </w:rPr>
      </w:pPr>
      <w:r>
        <w:rPr>
          <w:spacing w:val="-2"/>
        </w:rPr>
      </w:r>
    </w:p>
    <w:p>
      <w:pPr>
        <w:pStyle w:val="Normal"/>
        <w:suppressAutoHyphens w:val="true"/>
        <w:jc w:val="both"/>
        <w:rPr>
          <w:spacing w:val="-2"/>
        </w:rPr>
      </w:pPr>
      <w:r>
        <w:rPr>
          <w:spacing w:val="-2"/>
        </w:rPr>
        <w:tab/>
        <w:t>9.3</w:t>
        <w:tab/>
      </w:r>
      <w:r>
        <w:rPr>
          <w:b/>
          <w:spacing w:val="-2"/>
          <w:u w:val="single"/>
        </w:rPr>
        <w:t>Governing Law</w:t>
      </w:r>
      <w:r>
        <w:rPr>
          <w:spacing w:val="-2"/>
        </w:rPr>
        <w:t xml:space="preserve">. </w:t>
      </w:r>
      <w:r>
        <w:rPr/>
        <w:t>This Agreement shall be governed by, and construed, enforced and performed in accordance with, the law of the State of Texas (excluding its conflicts of law principles), and as expressly provided in respect of the arbitration of disputes, federal law.</w:t>
      </w:r>
    </w:p>
    <w:p>
      <w:pPr>
        <w:pStyle w:val="Normal"/>
        <w:suppressAutoHyphens w:val="true"/>
        <w:jc w:val="both"/>
        <w:rPr>
          <w:spacing w:val="-2"/>
        </w:rPr>
      </w:pPr>
      <w:r>
        <w:rPr>
          <w:spacing w:val="-2"/>
        </w:rPr>
      </w:r>
    </w:p>
    <w:p>
      <w:pPr>
        <w:pStyle w:val="Normal"/>
        <w:suppressAutoHyphens w:val="true"/>
        <w:jc w:val="both"/>
        <w:rPr/>
      </w:pPr>
      <w:r>
        <w:rPr>
          <w:spacing w:val="-2"/>
        </w:rPr>
        <w:tab/>
        <w:t>9.4</w:t>
        <w:tab/>
      </w:r>
      <w:r>
        <w:rPr>
          <w:b/>
          <w:spacing w:val="-2"/>
          <w:u w:val="single"/>
        </w:rPr>
        <w:t>Force Majeure</w:t>
      </w:r>
      <w:r>
        <w:rPr>
          <w:spacing w:val="-2"/>
        </w:rPr>
        <w:t xml:space="preserve">.  The parties shall not have any obligation to perform any specific Service hereunder if its failure to do so is caused by or results from any act of God, governmental action, natural disaster, strikes, failure of essential equipment or services, or any other cause or circumstance beyond the control of the parties.  During the term of the force majeure, no party will have to pay for the specific Service which is subject to the force majeure.  </w:t>
      </w:r>
    </w:p>
    <w:p>
      <w:pPr>
        <w:pStyle w:val="Normal"/>
        <w:suppressAutoHyphens w:val="true"/>
        <w:jc w:val="both"/>
        <w:rPr>
          <w:spacing w:val="-2"/>
        </w:rPr>
      </w:pPr>
      <w:r>
        <w:rPr>
          <w:spacing w:val="-2"/>
        </w:rPr>
      </w:r>
    </w:p>
    <w:p>
      <w:pPr>
        <w:pStyle w:val="Normal"/>
        <w:jc w:val="both"/>
        <w:rPr/>
      </w:pPr>
      <w:r>
        <w:rPr>
          <w:spacing w:val="-2"/>
        </w:rPr>
        <w:tab/>
        <w:t>9.5</w:t>
        <w:tab/>
      </w:r>
      <w:r>
        <w:rPr>
          <w:b/>
          <w:spacing w:val="-2"/>
          <w:u w:val="single"/>
        </w:rPr>
        <w:t>Notices</w:t>
      </w:r>
      <w:r>
        <w:rPr>
          <w:spacing w:val="-2"/>
        </w:rPr>
        <w:t xml:space="preserve">.   </w:t>
      </w:r>
      <w:r>
        <w:rPr/>
        <w:t>Except as otherwise provided herein, all notices and communications made pursuant to this Agreement shall be made as specified below. All notices and communications are required to be in writing and shall be delivered in written form by letter, facsimile or other documentary form.  Notice by hand delivery shall be deemed to have been received by the close of the day on which it was hand delivered  or such earlier time confirmed by the receiving party.  Notice by overnight mail or courier shall be deemed given on the date of delivery.  Any notice made by facsimile shall be deemed received simultaneously with the transmission thereof.  Any party hereto may change its address, phone and facsimile numbers, or designation of contact persons by providing notice in accordance with this section.</w:t>
      </w:r>
    </w:p>
    <w:p>
      <w:pPr>
        <w:pStyle w:val="Normal"/>
        <w:rPr/>
      </w:pPr>
      <w:r>
        <w:rPr/>
      </w:r>
    </w:p>
    <w:p>
      <w:pPr>
        <w:pStyle w:val="Normal"/>
        <w:ind w:firstLine="720" w:end="0"/>
        <w:rPr>
          <w:u w:val="single"/>
        </w:rPr>
      </w:pPr>
      <w:r>
        <w:rPr/>
        <w:t>ENRON:</w:t>
        <w:tab/>
        <w:tab/>
        <w:tab/>
        <w:tab/>
        <w:t>COMPANY:</w:t>
      </w:r>
    </w:p>
    <w:p>
      <w:pPr>
        <w:pStyle w:val="Normal"/>
        <w:ind w:firstLine="720" w:end="0"/>
        <w:rPr>
          <w:u w:val="single"/>
        </w:rPr>
      </w:pPr>
      <w:r>
        <w:rPr>
          <w:u w:val="single"/>
        </w:rPr>
      </w:r>
    </w:p>
    <w:p>
      <w:pPr>
        <w:pStyle w:val="Normal"/>
        <w:rPr/>
      </w:pPr>
      <w:r>
        <w:rPr/>
        <w:tab/>
        <w:t>Mr. Brian Redmond</w:t>
        <w:tab/>
        <w:tab/>
        <w:tab/>
      </w:r>
    </w:p>
    <w:p>
      <w:pPr>
        <w:pStyle w:val="Normal"/>
        <w:rPr/>
      </w:pPr>
      <w:r>
        <w:rPr/>
        <w:tab/>
        <w:t>Enron North America Corp.</w:t>
        <w:tab/>
        <w:tab/>
      </w:r>
    </w:p>
    <w:p>
      <w:pPr>
        <w:pStyle w:val="Normal"/>
        <w:rPr/>
      </w:pPr>
      <w:r>
        <w:rPr/>
        <w:tab/>
        <w:t>1400 Smith Street</w:t>
        <w:tab/>
        <w:tab/>
        <w:tab/>
      </w:r>
    </w:p>
    <w:p>
      <w:pPr>
        <w:pStyle w:val="Normal"/>
        <w:rPr/>
      </w:pPr>
      <w:r>
        <w:rPr/>
        <w:tab/>
        <w:t>Houston, Texas 77002</w:t>
        <w:tab/>
        <w:tab/>
        <w:tab/>
      </w:r>
    </w:p>
    <w:p>
      <w:pPr>
        <w:pStyle w:val="Normal"/>
        <w:rPr/>
      </w:pPr>
      <w:r>
        <w:rPr/>
        <w:tab/>
        <w:t>Telecopy:713/646-3234</w:t>
        <w:tab/>
        <w:tab/>
        <w:tab/>
      </w:r>
    </w:p>
    <w:p>
      <w:pPr>
        <w:pStyle w:val="Normal"/>
        <w:rPr/>
      </w:pPr>
      <w:r>
        <w:rPr/>
        <w:tab/>
        <w:t>Telephone:713/853-1839</w:t>
        <w:tab/>
        <w:tab/>
      </w:r>
    </w:p>
    <w:p>
      <w:pPr>
        <w:pStyle w:val="Normal"/>
        <w:suppressAutoHyphens w:val="true"/>
        <w:jc w:val="both"/>
        <w:rPr>
          <w:spacing w:val="-2"/>
        </w:rPr>
      </w:pPr>
      <w:r>
        <w:rPr>
          <w:spacing w:val="-2"/>
        </w:rPr>
      </w:r>
    </w:p>
    <w:p>
      <w:pPr>
        <w:pStyle w:val="Normal"/>
        <w:suppressAutoHyphens w:val="true"/>
        <w:jc w:val="both"/>
        <w:rPr>
          <w:spacing w:val="-2"/>
        </w:rPr>
      </w:pPr>
      <w:r>
        <w:rPr>
          <w:spacing w:val="-2"/>
        </w:rPr>
        <w:tab/>
        <w:t>with a copy to:</w:t>
      </w:r>
    </w:p>
    <w:p>
      <w:pPr>
        <w:pStyle w:val="Normal"/>
        <w:suppressAutoHyphens w:val="true"/>
        <w:jc w:val="both"/>
        <w:rPr>
          <w:spacing w:val="-2"/>
        </w:rPr>
      </w:pPr>
      <w:r>
        <w:rPr>
          <w:spacing w:val="-2"/>
        </w:rPr>
      </w:r>
    </w:p>
    <w:p>
      <w:pPr>
        <w:pStyle w:val="Normal"/>
        <w:suppressAutoHyphens w:val="true"/>
        <w:jc w:val="both"/>
        <w:rPr>
          <w:spacing w:val="-2"/>
        </w:rPr>
      </w:pPr>
      <w:r>
        <w:rPr>
          <w:spacing w:val="-2"/>
        </w:rPr>
        <w:tab/>
      </w:r>
    </w:p>
    <w:p>
      <w:pPr>
        <w:pStyle w:val="Normal"/>
        <w:suppressAutoHyphens w:val="true"/>
        <w:jc w:val="both"/>
        <w:rPr>
          <w:spacing w:val="-2"/>
        </w:rPr>
      </w:pPr>
      <w:r>
        <w:rPr>
          <w:spacing w:val="-2"/>
        </w:rPr>
      </w:r>
    </w:p>
    <w:p>
      <w:pPr>
        <w:pStyle w:val="Normal"/>
        <w:suppressAutoHyphens w:val="true"/>
        <w:jc w:val="both"/>
        <w:rPr>
          <w:spacing w:val="-2"/>
        </w:rPr>
      </w:pPr>
      <w:r>
        <w:rPr>
          <w:spacing w:val="-2"/>
        </w:rPr>
      </w:r>
    </w:p>
    <w:p>
      <w:pPr>
        <w:pStyle w:val="Normal"/>
        <w:suppressAutoHyphens w:val="true"/>
        <w:jc w:val="both"/>
        <w:rPr>
          <w:spacing w:val="-2"/>
        </w:rPr>
      </w:pPr>
      <w:r>
        <w:rPr>
          <w:spacing w:val="-2"/>
        </w:rPr>
      </w:r>
    </w:p>
    <w:p>
      <w:pPr>
        <w:pStyle w:val="Normal"/>
        <w:suppressAutoHyphens w:val="true"/>
        <w:jc w:val="both"/>
        <w:rPr>
          <w:spacing w:val="-2"/>
        </w:rPr>
      </w:pPr>
      <w:r>
        <w:rPr>
          <w:spacing w:val="-2"/>
        </w:rPr>
      </w:r>
    </w:p>
    <w:p>
      <w:pPr>
        <w:pStyle w:val="Normal"/>
        <w:suppressAutoHyphens w:val="true"/>
        <w:jc w:val="both"/>
        <w:rPr>
          <w:spacing w:val="-2"/>
        </w:rPr>
      </w:pPr>
      <w:r>
        <w:rPr>
          <w:spacing w:val="-2"/>
        </w:rPr>
      </w:r>
    </w:p>
    <w:p>
      <w:pPr>
        <w:pStyle w:val="Normal"/>
        <w:suppressAutoHyphens w:val="true"/>
        <w:jc w:val="both"/>
        <w:rPr/>
      </w:pPr>
      <w:r>
        <w:rPr>
          <w:spacing w:val="-2"/>
        </w:rPr>
        <w:tab/>
        <w:t>9.6</w:t>
        <w:tab/>
      </w:r>
      <w:r>
        <w:rPr>
          <w:b/>
          <w:spacing w:val="-2"/>
          <w:u w:val="single"/>
        </w:rPr>
        <w:t>Severability</w:t>
      </w:r>
      <w:r>
        <w:rPr>
          <w:spacing w:val="-2"/>
        </w:rPr>
        <w:t>.  In the event any portion of this Agreement, or the application thereof to any person or circumstance, shall be determined to be invalid or unenforceable, that portion or application of this Agreement will be null and void, and the remainder of this Agreement will continue to be valid and enforceable to the extent permitted by applicable law.</w:t>
      </w:r>
    </w:p>
    <w:p>
      <w:pPr>
        <w:pStyle w:val="Normal"/>
        <w:suppressAutoHyphens w:val="true"/>
        <w:jc w:val="both"/>
        <w:rPr>
          <w:spacing w:val="-2"/>
        </w:rPr>
      </w:pPr>
      <w:r>
        <w:rPr>
          <w:spacing w:val="-2"/>
        </w:rPr>
      </w:r>
    </w:p>
    <w:p>
      <w:pPr>
        <w:pStyle w:val="Normal"/>
        <w:suppressAutoHyphens w:val="true"/>
        <w:jc w:val="both"/>
        <w:rPr>
          <w:spacing w:val="-2"/>
        </w:rPr>
      </w:pPr>
      <w:r>
        <w:rPr>
          <w:spacing w:val="-2"/>
        </w:rPr>
        <w:tab/>
        <w:t>9.7</w:t>
        <w:tab/>
      </w:r>
      <w:r>
        <w:rPr>
          <w:b/>
          <w:spacing w:val="-2"/>
          <w:u w:val="single"/>
        </w:rPr>
        <w:t>Waiver</w:t>
      </w:r>
      <w:r>
        <w:rPr>
          <w:spacing w:val="-2"/>
        </w:rPr>
        <w:t xml:space="preserve">. </w:t>
      </w:r>
      <w:r>
        <w:rPr/>
        <w:t>Forbearance or indulgence of any person in any regard whatsoever in this Agreement shall not constitute a waiver or change of the covenant or condition to be performed by any other person to which the same may apply.  No waiver or consent by any person of any term or breach hereunder by any other person shall operate as a waiver or consent of any other term or breach, whether of a like or different nature.</w:t>
      </w:r>
    </w:p>
    <w:p>
      <w:pPr>
        <w:pStyle w:val="Normal"/>
        <w:suppressAutoHyphens w:val="true"/>
        <w:jc w:val="both"/>
        <w:rPr>
          <w:spacing w:val="-2"/>
        </w:rPr>
      </w:pPr>
      <w:r>
        <w:rPr>
          <w:spacing w:val="-2"/>
        </w:rPr>
      </w:r>
    </w:p>
    <w:p>
      <w:pPr>
        <w:pStyle w:val="Normal"/>
        <w:ind w:firstLine="720" w:end="0"/>
        <w:jc w:val="both"/>
        <w:rPr/>
      </w:pPr>
      <w:r>
        <w:rPr>
          <w:spacing w:val="-2"/>
        </w:rPr>
        <w:t>9.8</w:t>
        <w:tab/>
      </w:r>
      <w:r>
        <w:rPr>
          <w:b/>
          <w:u w:val="single"/>
        </w:rPr>
        <w:t>Execution/Document</w:t>
      </w:r>
      <w:r>
        <w:rPr/>
        <w:t xml:space="preserve">.  The headings used herein are for reference purposes only. This Agreement constitutes the entire agreement among the parties hereto relating to the subject matter hereby contemplated and no other prior or contemporaneous agreements or representations (whether oral or written) have been made concerning the subject matter, or in connection with the execution.  The parties hereto shall deliver any documents reasonably required to be delivered in this Agreement concurrent with the execution of this Agreement.  No modification of this Agreement shall be enforceable, unless in writing and executed by the persons sought to be bound thereby.  The provisions shall not impart rights enforceable by any person not a signatory or not bound as a signatory, or not a permitted successor or assignee of a signatory bound hereto.  </w:t>
      </w:r>
    </w:p>
    <w:p>
      <w:pPr>
        <w:pStyle w:val="Normal"/>
        <w:suppressAutoHyphens w:val="true"/>
        <w:jc w:val="both"/>
        <w:rPr>
          <w:spacing w:val="-2"/>
        </w:rPr>
      </w:pPr>
      <w:r>
        <w:rPr>
          <w:spacing w:val="-2"/>
        </w:rPr>
      </w:r>
    </w:p>
    <w:p>
      <w:pPr>
        <w:pStyle w:val="Normal"/>
        <w:suppressAutoHyphens w:val="true"/>
        <w:jc w:val="both"/>
        <w:rPr/>
      </w:pPr>
      <w:r>
        <w:rPr>
          <w:spacing w:val="-2"/>
        </w:rPr>
        <w:tab/>
        <w:t>9.9</w:t>
      </w:r>
      <w:r>
        <w:rPr/>
        <w:tab/>
      </w:r>
      <w:r>
        <w:rPr>
          <w:b/>
          <w:u w:val="single"/>
        </w:rPr>
        <w:t>Survival; Limitations Period</w:t>
      </w:r>
      <w:r>
        <w:rPr>
          <w:b/>
        </w:rPr>
        <w:t>.</w:t>
      </w:r>
      <w:r>
        <w:rPr/>
        <w:t xml:space="preserve">  Notwithstanding any other provisions in this Agreement, all indemnity, limitation of liability and confidentiality obligations set forth in this Agreement shall survive the termination or expiration of this Agreement, in whole or in part.  Such confidentiality obligations shall expire two (2) years after the termination of this Agreement. </w:t>
      </w:r>
      <w:r>
        <w:rPr>
          <w:b/>
          <w:caps/>
          <w:color w:val="000000"/>
        </w:rPr>
        <w:t xml:space="preserve"> Company may not assert any cause of action against ENRON arising under or in connection with this Agreement of which the Company knew or should have known more than two (2) years prior to such assertion.</w:t>
      </w:r>
    </w:p>
    <w:p>
      <w:pPr>
        <w:pStyle w:val="Normal"/>
        <w:suppressAutoHyphens w:val="true"/>
        <w:jc w:val="both"/>
        <w:rPr/>
      </w:pPr>
      <w:r>
        <w:rPr/>
      </w:r>
    </w:p>
    <w:p>
      <w:pPr>
        <w:pStyle w:val="Normal"/>
        <w:suppressAutoHyphens w:val="true"/>
        <w:jc w:val="both"/>
        <w:rPr/>
      </w:pPr>
      <w:r>
        <w:rPr>
          <w:spacing w:val="-2"/>
        </w:rPr>
        <w:tab/>
        <w:t>9.10</w:t>
        <w:tab/>
      </w:r>
      <w:r>
        <w:rPr>
          <w:b/>
          <w:spacing w:val="-2"/>
          <w:u w:val="single"/>
        </w:rPr>
        <w:t>Counterparts</w:t>
      </w:r>
      <w:r>
        <w:rPr>
          <w:spacing w:val="-2"/>
        </w:rPr>
        <w:t>.  This Agreement may be executed in one or more counterparts, each of which shall be deemed an original, but all of which shall constitute one and the same instrument.</w:t>
      </w:r>
    </w:p>
    <w:p>
      <w:pPr>
        <w:pStyle w:val="Normal"/>
        <w:suppressAutoHyphens w:val="true"/>
        <w:jc w:val="both"/>
        <w:rPr>
          <w:spacing w:val="-2"/>
        </w:rPr>
      </w:pPr>
      <w:r>
        <w:rPr>
          <w:spacing w:val="-2"/>
        </w:rPr>
      </w:r>
    </w:p>
    <w:p>
      <w:pPr>
        <w:pStyle w:val="Normal"/>
        <w:jc w:val="both"/>
        <w:rPr/>
      </w:pPr>
      <w:r>
        <w:rPr>
          <w:spacing w:val="-2"/>
        </w:rPr>
        <w:tab/>
        <w:t>9.11</w:t>
        <w:tab/>
      </w:r>
      <w:r>
        <w:rPr>
          <w:b/>
          <w:spacing w:val="-2"/>
          <w:u w:val="single"/>
        </w:rPr>
        <w:t>Arbitration</w:t>
      </w:r>
      <w:r>
        <w:rPr>
          <w:spacing w:val="-2"/>
        </w:rPr>
        <w:t>.</w:t>
      </w:r>
      <w:r>
        <w:rPr>
          <w:b/>
          <w:spacing w:val="-2"/>
        </w:rPr>
        <w:t xml:space="preserve">  </w:t>
      </w:r>
    </w:p>
    <w:p>
      <w:pPr>
        <w:pStyle w:val="Normal"/>
        <w:jc w:val="both"/>
        <w:rPr>
          <w:b/>
          <w:spacing w:val="-2"/>
        </w:rPr>
      </w:pPr>
      <w:r>
        <w:rPr>
          <w:b/>
          <w:spacing w:val="-2"/>
        </w:rPr>
      </w:r>
    </w:p>
    <w:p>
      <w:pPr>
        <w:pStyle w:val="Normal"/>
        <w:ind w:firstLine="1440" w:end="0"/>
        <w:jc w:val="both"/>
        <w:rPr/>
      </w:pPr>
      <w:r>
        <w:rPr/>
        <w:t>(a)</w:t>
        <w:tab/>
        <w:t>Any claim, action, dispute or controversy of any kind arising out of or relating to this Agreement or concerning any aspect of performance by any party under the terms of this Agreement (a “</w:t>
      </w:r>
      <w:r>
        <w:rPr>
          <w:u w:val="single"/>
        </w:rPr>
        <w:t>Dispute</w:t>
      </w:r>
      <w:r>
        <w:rPr/>
        <w:t>”) shall be resolved by mandatory and binding arbitration administered by the American Arbitration Association (the “</w:t>
      </w:r>
      <w:r>
        <w:rPr>
          <w:u w:val="single"/>
        </w:rPr>
        <w:t>AAA</w:t>
      </w:r>
      <w:r>
        <w:rPr/>
        <w:t xml:space="preserve">”) pursuant to the Federal Arbitration Act (Title 9 of the United States Code) in accordance with this Agreement and the then-applicable Commercial Arbitration Rules of the AAA.  The parties acknowledge and agree that the transactions evidenced and contemplated hereby involve “commerce” as contemplated in Section 2 of the Federal Arbitration Act.  If Title 9 of the United States Code is inapplicable to any such Dispute for any reason, such arbitration shall be conducted pursuant to the Texas General Arbitration Act (V.T.C.A., Civil Practice &amp; Remedies Code Section 171.0001, et. seq. Vernon 1997), this Agreement and the then-applicable Commercial Arbitration Rules of the AAA.  To the extent that any inconsistency exists between this Agreement and the foregoing statute or rules, this Agreement shall control.  Judgment upon the award rendered by the arbitrators acting pursuant to this Agreement may be entered in, and enforced by, any court having jurisdiction, absent manifest disregard by such arbitrators of applicable law; provided, however, that the arbitrators shall not amend, supplement or reform in any manner any of the rights or obligations of any party hereunder or the enforceability of any of the terms or provisions of this Agreement.  Any arbitration proceedings under this Agreement shall be conducted in Houston, Texas, before three (3) arbitrators (selected as set forth in </w:t>
      </w:r>
      <w:r>
        <w:rPr>
          <w:u w:val="single"/>
        </w:rPr>
        <w:t>subsection (b)</w:t>
      </w:r>
      <w:r>
        <w:rPr/>
        <w:t xml:space="preserve"> below), who have no direct or indirect relationship with any party or any party’s affiliates.</w:t>
      </w:r>
    </w:p>
    <w:p>
      <w:pPr>
        <w:pStyle w:val="Normal"/>
        <w:jc w:val="both"/>
        <w:rPr/>
      </w:pPr>
      <w:r>
        <w:rPr/>
      </w:r>
    </w:p>
    <w:p>
      <w:pPr>
        <w:pStyle w:val="Heading3"/>
        <w:ind w:firstLine="1440" w:start="0" w:end="0"/>
        <w:rPr/>
      </w:pPr>
      <w:r>
        <w:rPr>
          <w:rFonts w:cs="Times New Roman" w:ascii="Times New Roman" w:hAnsi="Times New Roman"/>
          <w:b w:val="false"/>
          <w:sz w:val="22"/>
        </w:rPr>
        <w:t>(b)</w:t>
        <w:tab/>
        <w:t>The arbitration shall be conducted by three (3) arbitrators.  The party initiating arbitration (the “</w:t>
      </w:r>
      <w:r>
        <w:rPr>
          <w:rFonts w:cs="Times New Roman" w:ascii="Times New Roman" w:hAnsi="Times New Roman"/>
          <w:b w:val="false"/>
          <w:sz w:val="22"/>
          <w:u w:val="single"/>
        </w:rPr>
        <w:t>Claimant</w:t>
      </w:r>
      <w:r>
        <w:rPr>
          <w:rFonts w:cs="Times New Roman" w:ascii="Times New Roman" w:hAnsi="Times New Roman"/>
          <w:b w:val="false"/>
          <w:sz w:val="22"/>
        </w:rPr>
        <w:t>”) shall appoint its arbitrator in its request for arbitration (the “</w:t>
      </w:r>
      <w:r>
        <w:rPr>
          <w:rFonts w:cs="Times New Roman" w:ascii="Times New Roman" w:hAnsi="Times New Roman"/>
          <w:b w:val="false"/>
          <w:sz w:val="22"/>
          <w:u w:val="single"/>
        </w:rPr>
        <w:t>Request</w:t>
      </w:r>
      <w:r>
        <w:rPr>
          <w:rFonts w:cs="Times New Roman" w:ascii="Times New Roman" w:hAnsi="Times New Roman"/>
          <w:b w:val="false"/>
          <w:sz w:val="22"/>
        </w:rPr>
        <w:t>”).  The other party (the “</w:t>
      </w:r>
      <w:r>
        <w:rPr>
          <w:rFonts w:cs="Times New Roman" w:ascii="Times New Roman" w:hAnsi="Times New Roman"/>
          <w:b w:val="false"/>
          <w:sz w:val="22"/>
          <w:u w:val="single"/>
        </w:rPr>
        <w:t>Respondent</w:t>
      </w:r>
      <w:r>
        <w:rPr>
          <w:rFonts w:cs="Times New Roman" w:ascii="Times New Roman" w:hAnsi="Times New Roman"/>
          <w:b w:val="false"/>
          <w:sz w:val="22"/>
        </w:rPr>
        <w:t>”) shall appoint its arbitrator within thirty (30) days after receipt of the Request and shall notify the Claimant of such appointment in writing.  If the Respondent fails to appoint an arbitrator within such thirty (30) day period, the AAA shall appoint an arbitrator on behalf of the Respondent, which arbitrator shall be deemed to have been appointed by the Respondent.  The two (2) party-appointed arbitrators shall not be required to be neutral.  The two (2) party-appointed arbitrators shall appoint a third arbitrator within thirty (30) days after the appointment of the Respondent’s arbitrator.  When the third arbitrator has accepted the appointment, the two (2) party-appointed arbitrators shall promptly notify the parties of the appointment.  If the two (2) party-appointed arbitrators fail to appoint a third arbitrator or to notify the parties within the time period prescribed above, then the appointment of the third arbitrator shall be made by the AAA, which shall promptly notify the parties of the appointment.  The third arbitrator shall act as chair of the panel.</w:t>
      </w:r>
    </w:p>
    <w:p>
      <w:pPr>
        <w:pStyle w:val="Normal"/>
        <w:rPr>
          <w:rFonts w:ascii="Times New Roman" w:hAnsi="Times New Roman" w:cs="Times New Roman"/>
          <w:b/>
          <w:sz w:val="22"/>
        </w:rPr>
      </w:pPr>
      <w:r>
        <w:rPr>
          <w:rFonts w:cs="Times New Roman"/>
          <w:b/>
          <w:sz w:val="22"/>
        </w:rPr>
      </w:r>
    </w:p>
    <w:p>
      <w:pPr>
        <w:pStyle w:val="Normal"/>
        <w:ind w:firstLine="1440" w:end="0"/>
        <w:jc w:val="both"/>
        <w:rPr/>
      </w:pPr>
      <w:r>
        <w:rPr/>
        <w:t>(c)</w:t>
        <w:tab/>
        <w:t>Each party shall bear its own expenses of the arbitration, including, without limitation, fees and expenses of counsel incident to any mediation or arbitration.  The fees and expenses of the arbitrators and the AAA shall be borne equally by the parties.  The arbitrators shall have the power and authority to award expenses to the prevailing party if the arbitrators elect to do so, but in no event shall any party be liable to another party, except with respect to a liability imposed as a result of a third-party claim or allegation for any exemplary, punitive, special, indirect, consequential, remote, or speculative damages, even if caused by the sole, joint, and/or concurrent negligence, strict liability, or other fault of such party.</w:t>
      </w:r>
    </w:p>
    <w:p>
      <w:pPr>
        <w:pStyle w:val="Normal"/>
        <w:suppressAutoHyphens w:val="true"/>
        <w:jc w:val="both"/>
        <w:rPr>
          <w:b/>
          <w:spacing w:val="-2"/>
        </w:rPr>
      </w:pPr>
      <w:r>
        <w:rPr>
          <w:b/>
          <w:spacing w:val="-2"/>
        </w:rPr>
      </w:r>
    </w:p>
    <w:p>
      <w:pPr>
        <w:pStyle w:val="Normal"/>
        <w:ind w:firstLine="720" w:end="0"/>
        <w:jc w:val="both"/>
        <w:rPr/>
      </w:pPr>
      <w:r>
        <w:rPr/>
        <w:t>9.13.</w:t>
        <w:tab/>
      </w:r>
      <w:r>
        <w:rPr>
          <w:b/>
          <w:u w:val="single"/>
        </w:rPr>
        <w:t>Confidentiality</w:t>
      </w:r>
      <w:r>
        <w:rPr/>
        <w:t>.</w:t>
      </w:r>
    </w:p>
    <w:p>
      <w:pPr>
        <w:pStyle w:val="Normal"/>
        <w:ind w:firstLine="720" w:end="0"/>
        <w:jc w:val="both"/>
        <w:rPr/>
      </w:pPr>
      <w:r>
        <w:rPr/>
      </w:r>
    </w:p>
    <w:p>
      <w:pPr>
        <w:pStyle w:val="Normal"/>
        <w:ind w:firstLine="1440" w:end="0"/>
        <w:jc w:val="both"/>
        <w:rPr>
          <w:b/>
        </w:rPr>
      </w:pPr>
      <w:r>
        <w:rPr/>
        <w:t>(a)</w:t>
        <w:tab/>
        <w:t>Enron and Company will maintain in confidence, and will cause their respective employees, officers, directors, affiliates, lenders, representatives and agents to maintain in confidence, any written, oral or other information obtained in confidence from the other party hereto in connection with this Agreement or the transactions contemplated hereby unless such information is already known to such party, is obtained by a person not otherwise bound by a duty of confidentiality or becomes publicly available through no breach of this Agreement by such party, unless the use of such information is necessary or appropriate in making any filing or obtaining any consent or approval required for the consummation of the transactions contemplated hereby, or unless the furnishing or use of such information is required by any legal proceeding, rule, regulation or applicable law, provided that prior to furnishing or using such information in connection with any legal proceeding, rule, regulation or applicable law, the disclosing party shall give the non-disclosing party prompt written notice in advance of the required disclosure so that an appropriate protective order may be sought by the non-disclosing party, if appropriate.</w:t>
      </w:r>
    </w:p>
    <w:p>
      <w:pPr>
        <w:pStyle w:val="Normal"/>
        <w:ind w:firstLine="1440" w:end="0"/>
        <w:jc w:val="both"/>
        <w:rPr>
          <w:b/>
        </w:rPr>
      </w:pPr>
      <w:r>
        <w:rPr>
          <w:b/>
        </w:rPr>
      </w:r>
    </w:p>
    <w:p>
      <w:pPr>
        <w:pStyle w:val="Normal"/>
        <w:ind w:firstLine="1440" w:end="0"/>
        <w:jc w:val="both"/>
        <w:rPr/>
      </w:pPr>
      <w:r>
        <w:rPr/>
        <w:t>(b)</w:t>
        <w:tab/>
        <w:t>Either party shall be entitled to all remedies available at law or in equity to enforce, or seek relief in connection with, the rights and obligations set forth in this Section, including injunction and temporary restraint.</w:t>
      </w:r>
      <w:r>
        <w:rPr>
          <w:sz w:val="24"/>
        </w:rPr>
        <w:t xml:space="preserve"> </w:t>
      </w:r>
    </w:p>
    <w:p>
      <w:pPr>
        <w:pStyle w:val="Normal"/>
        <w:ind w:firstLine="1440" w:end="0"/>
        <w:jc w:val="both"/>
        <w:rPr>
          <w:sz w:val="24"/>
        </w:rPr>
      </w:pPr>
      <w:r>
        <w:rPr>
          <w:sz w:val="24"/>
        </w:rPr>
      </w:r>
    </w:p>
    <w:p>
      <w:pPr>
        <w:pStyle w:val="Normal"/>
        <w:ind w:firstLine="1440" w:end="0"/>
        <w:jc w:val="both"/>
        <w:rPr/>
      </w:pPr>
      <w:r>
        <w:rPr>
          <w:sz w:val="24"/>
        </w:rPr>
        <w:t>(c)</w:t>
        <w:tab/>
      </w:r>
      <w:r>
        <w:rPr>
          <w:color w:val="000000"/>
        </w:rPr>
        <w:t>The parties acknowledge that trademarks, trade names, service marks, copyrights, programs, software (including but not limited to source code and scripts), specifications, systems designs, applications, routines, sub</w:t>
        <w:noBreakHyphen/>
        <w:t>routines, techniques, enhancements, documentation, manuals, ideas or formulas developed, provided or utilized by Enron in providing the Services or developed by Enron or its providers and provided in connection with this Agreement shall remain the sole and exclusive property of Enron or its providers.</w:t>
      </w:r>
    </w:p>
    <w:p>
      <w:pPr>
        <w:pStyle w:val="Normal"/>
        <w:ind w:firstLine="1440" w:end="0"/>
        <w:jc w:val="both"/>
        <w:rPr>
          <w:color w:val="000000"/>
        </w:rPr>
      </w:pPr>
      <w:r>
        <w:rPr>
          <w:color w:val="000000"/>
        </w:rPr>
      </w:r>
    </w:p>
    <w:p>
      <w:pPr>
        <w:pStyle w:val="Normal"/>
        <w:ind w:firstLine="1440" w:end="0"/>
        <w:jc w:val="both"/>
        <w:rPr>
          <w:sz w:val="24"/>
        </w:rPr>
      </w:pPr>
      <w:r>
        <w:rPr>
          <w:color w:val="000000"/>
        </w:rPr>
        <w:t>(d)</w:t>
        <w:tab/>
        <w:t xml:space="preserve">Nothing in this </w:t>
      </w:r>
      <w:r>
        <w:rPr>
          <w:color w:val="000000"/>
          <w:u w:val="single"/>
        </w:rPr>
        <w:t>Section 9.13</w:t>
      </w:r>
      <w:r>
        <w:rPr>
          <w:color w:val="000000"/>
        </w:rPr>
        <w:t xml:space="preserve"> shall operate to amend, restrict or supersede any other agreement between the parties and/or any of their affiliates relating to confidentiality or other matters covered by this Section, and any such other agreement shall remain in full force and effect.</w:t>
      </w:r>
    </w:p>
    <w:p>
      <w:pPr>
        <w:pStyle w:val="Normal"/>
        <w:suppressAutoHyphens w:val="true"/>
        <w:jc w:val="both"/>
        <w:rPr>
          <w:spacing w:val="-2"/>
          <w:sz w:val="24"/>
        </w:rPr>
      </w:pPr>
      <w:r>
        <w:rPr>
          <w:spacing w:val="-2"/>
          <w:sz w:val="24"/>
        </w:rPr>
      </w:r>
    </w:p>
    <w:p>
      <w:pPr>
        <w:pStyle w:val="Normal"/>
        <w:suppressAutoHyphens w:val="true"/>
        <w:jc w:val="both"/>
        <w:rPr>
          <w:spacing w:val="-2"/>
        </w:rPr>
      </w:pPr>
      <w:r>
        <w:rPr>
          <w:spacing w:val="-2"/>
        </w:rPr>
        <w:tab/>
        <w:t>IN WITNESS WHEREOF, the parties have executed this Agreement, to be effective as of  the Effective Date.</w:t>
      </w:r>
    </w:p>
    <w:p>
      <w:pPr>
        <w:pStyle w:val="Normal"/>
        <w:tabs>
          <w:tab w:val="clear" w:pos="720"/>
          <w:tab w:val="left" w:pos="270" w:leader="none"/>
        </w:tabs>
        <w:suppressAutoHyphens w:val="true"/>
        <w:jc w:val="both"/>
        <w:rPr>
          <w:spacing w:val="-2"/>
        </w:rPr>
      </w:pPr>
      <w:r>
        <w:rPr>
          <w:spacing w:val="-2"/>
        </w:rPr>
      </w:r>
    </w:p>
    <w:p>
      <w:pPr>
        <w:pStyle w:val="Normal"/>
        <w:tabs>
          <w:tab w:val="clear" w:pos="720"/>
          <w:tab w:val="left" w:pos="270" w:leader="none"/>
        </w:tabs>
        <w:suppressAutoHyphens w:val="true"/>
        <w:jc w:val="both"/>
        <w:rPr>
          <w:b/>
          <w:caps/>
          <w:spacing w:val="-2"/>
        </w:rPr>
      </w:pPr>
      <w:r>
        <w:rPr>
          <w:b/>
          <w:smallCaps/>
          <w:spacing w:val="-2"/>
        </w:rPr>
        <w:tab/>
        <w:tab/>
        <w:tab/>
        <w:tab/>
        <w:tab/>
        <w:tab/>
        <w:tab/>
        <w:tab/>
        <w:t>Enron North America Corp.</w:t>
      </w:r>
    </w:p>
    <w:p>
      <w:pPr>
        <w:pStyle w:val="Normal"/>
        <w:suppressAutoHyphens w:val="true"/>
        <w:ind w:start="4320" w:end="0"/>
        <w:jc w:val="both"/>
        <w:rPr>
          <w:b/>
          <w:caps/>
          <w:spacing w:val="-2"/>
        </w:rPr>
      </w:pPr>
      <w:r>
        <w:rPr>
          <w:b/>
          <w:caps/>
          <w:spacing w:val="-2"/>
        </w:rPr>
      </w:r>
    </w:p>
    <w:p>
      <w:pPr>
        <w:pStyle w:val="Normal"/>
        <w:suppressAutoHyphens w:val="true"/>
        <w:jc w:val="both"/>
        <w:rPr/>
      </w:pPr>
      <w:r>
        <w:rPr>
          <w:spacing w:val="-2"/>
        </w:rPr>
        <w:t xml:space="preserve">By:  </w:t>
      </w:r>
      <w:r>
        <w:rPr>
          <w:spacing w:val="-2"/>
          <w:u w:val="single"/>
        </w:rPr>
        <w:tab/>
        <w:tab/>
        <w:tab/>
        <w:tab/>
      </w:r>
      <w:r>
        <w:rPr>
          <w:b/>
          <w:spacing w:val="-2"/>
        </w:rPr>
        <w:tab/>
        <w:tab/>
        <w:tab/>
      </w:r>
      <w:r>
        <w:rPr>
          <w:spacing w:val="-2"/>
        </w:rPr>
        <w:t xml:space="preserve">By:  </w:t>
      </w:r>
      <w:r>
        <w:rPr>
          <w:spacing w:val="-2"/>
          <w:u w:val="single"/>
        </w:rPr>
        <w:tab/>
        <w:tab/>
        <w:tab/>
        <w:tab/>
        <w:tab/>
      </w:r>
    </w:p>
    <w:p>
      <w:pPr>
        <w:pStyle w:val="Normal"/>
        <w:suppressAutoHyphens w:val="true"/>
        <w:ind w:firstLine="720" w:end="0"/>
        <w:jc w:val="both"/>
        <w:rPr>
          <w:spacing w:val="-2"/>
          <w:u w:val="single"/>
        </w:rPr>
      </w:pPr>
      <w:r>
        <w:rPr>
          <w:spacing w:val="-2"/>
          <w:u w:val="single"/>
        </w:rPr>
      </w:r>
    </w:p>
    <w:p>
      <w:pPr>
        <w:pStyle w:val="Normal"/>
        <w:suppressAutoHyphens w:val="true"/>
        <w:jc w:val="both"/>
        <w:rPr>
          <w:spacing w:val="-2"/>
        </w:rPr>
      </w:pPr>
      <w:r>
        <w:rPr>
          <w:spacing w:val="-2"/>
        </w:rPr>
        <w:t>Name:</w:t>
        <w:tab/>
        <w:tab/>
        <w:tab/>
        <w:tab/>
        <w:tab/>
        <w:tab/>
        <w:tab/>
        <w:t>Name:  Brian L. Redmond</w:t>
      </w:r>
    </w:p>
    <w:p>
      <w:pPr>
        <w:pStyle w:val="Normal"/>
        <w:suppressAutoHyphens w:val="true"/>
        <w:jc w:val="both"/>
        <w:rPr>
          <w:spacing w:val="-2"/>
          <w:u w:val="single"/>
        </w:rPr>
      </w:pPr>
      <w:r>
        <w:rPr>
          <w:spacing w:val="-2"/>
        </w:rPr>
        <w:t xml:space="preserve">Title:  </w:t>
        <w:tab/>
        <w:tab/>
        <w:tab/>
        <w:tab/>
        <w:tab/>
        <w:tab/>
        <w:tab/>
        <w:t>Title:  Managing Director</w:t>
      </w:r>
    </w:p>
    <w:p>
      <w:pPr>
        <w:pStyle w:val="Normal"/>
        <w:suppressAutoHyphens w:val="true"/>
        <w:jc w:val="both"/>
        <w:rPr/>
      </w:pPr>
      <w:r>
        <w:rPr/>
        <w:t xml:space="preserve">Date:  </w:t>
        <w:tab/>
        <w:tab/>
        <w:tab/>
        <w:tab/>
        <w:tab/>
        <w:tab/>
        <w:tab/>
        <w:t xml:space="preserve">Date:  </w:t>
      </w:r>
    </w:p>
    <w:p>
      <w:pPr>
        <w:sectPr>
          <w:headerReference w:type="default" r:id="rId2"/>
          <w:headerReference w:type="first" r:id="rId3"/>
          <w:footerReference w:type="default" r:id="rId4"/>
          <w:footerReference w:type="first" r:id="rId5"/>
          <w:type w:val="nextPage"/>
          <w:pgSz w:w="12240" w:h="15840"/>
          <w:pgMar w:left="1800" w:right="1800" w:gutter="0" w:header="720" w:top="1440" w:footer="720" w:bottom="1440"/>
          <w:pgNumType w:fmt="decimal"/>
          <w:formProt w:val="false"/>
          <w:titlePg/>
          <w:textDirection w:val="lrTb"/>
          <w:docGrid w:type="default" w:linePitch="360" w:charSpace="0"/>
        </w:sectPr>
        <w:pStyle w:val="Normal"/>
        <w:suppressAutoHyphens w:val="true"/>
        <w:jc w:val="both"/>
        <w:rPr>
          <w:u w:val="single"/>
        </w:rPr>
      </w:pPr>
      <w:r>
        <w:rPr>
          <w:u w:val="single"/>
        </w:rPr>
      </w:r>
    </w:p>
    <w:p>
      <w:pPr>
        <w:pStyle w:val="Normal"/>
        <w:suppressAutoHyphens w:val="true"/>
        <w:jc w:val="center"/>
        <w:rPr/>
      </w:pPr>
      <w:r>
        <w:rPr/>
        <w:t>Exhibit A</w:t>
      </w:r>
    </w:p>
    <w:p>
      <w:pPr>
        <w:pStyle w:val="Normal"/>
        <w:suppressAutoHyphens w:val="true"/>
        <w:jc w:val="center"/>
        <w:rPr/>
      </w:pPr>
      <w:r>
        <w:rPr/>
        <w:t>Services</w:t>
      </w:r>
    </w:p>
    <w:p>
      <w:pPr>
        <w:pStyle w:val="Normal"/>
        <w:suppressAutoHyphens w:val="true"/>
        <w:jc w:val="center"/>
        <w:rPr/>
      </w:pPr>
      <w:r>
        <w:rPr/>
      </w:r>
    </w:p>
    <w:p>
      <w:pPr>
        <w:pStyle w:val="Normal"/>
        <w:tabs>
          <w:tab w:val="clear" w:pos="720"/>
          <w:tab w:val="left" w:pos="3600" w:leader="none"/>
          <w:tab w:val="left" w:pos="7920" w:leader="none"/>
        </w:tabs>
        <w:rPr/>
      </w:pPr>
      <w:r>
        <w:rPr/>
      </w:r>
    </w:p>
    <w:p>
      <w:pPr>
        <w:pStyle w:val="Normal"/>
        <w:rPr/>
      </w:pPr>
      <w:r>
        <w:rPr>
          <w:b/>
        </w:rPr>
        <w:t>Gas Management Systems</w:t>
      </w:r>
      <w:r>
        <w:rPr/>
        <w:t xml:space="preserve"> –Enron will provide Company with the ability to access the Enron Gas  Management systems relating to the HPL Assets and Leased Assets.  These consist of Unify and the Global Databases and provide the following functionality:</w:t>
      </w:r>
    </w:p>
    <w:p>
      <w:pPr>
        <w:sectPr>
          <w:headerReference w:type="default" r:id="rId6"/>
          <w:headerReference w:type="first" r:id="rId7"/>
          <w:footerReference w:type="default" r:id="rId8"/>
          <w:footerReference w:type="first" r:id="rId9"/>
          <w:type w:val="nextPage"/>
          <w:pgSz w:w="12240" w:h="15840"/>
          <w:pgMar w:left="1800" w:right="1800" w:gutter="0" w:header="720" w:top="1440" w:footer="720" w:bottom="1440"/>
          <w:pgNumType w:start="1" w:fmt="decimal"/>
          <w:formProt w:val="false"/>
          <w:titlePg/>
          <w:textDirection w:val="lrTb"/>
          <w:docGrid w:type="default" w:linePitch="360" w:charSpace="0"/>
        </w:sectPr>
      </w:pPr>
    </w:p>
    <w:p>
      <w:pPr>
        <w:pStyle w:val="Normal"/>
        <w:ind w:end="-360"/>
        <w:rPr/>
      </w:pPr>
      <w:r>
        <w:rPr/>
      </w:r>
    </w:p>
    <w:p>
      <w:pPr>
        <w:pStyle w:val="Normal"/>
        <w:tabs>
          <w:tab w:val="clear" w:pos="720"/>
          <w:tab w:val="left" w:pos="3060" w:leader="none"/>
          <w:tab w:val="left" w:pos="5220" w:leader="none"/>
        </w:tabs>
        <w:ind w:end="-540"/>
        <w:rPr>
          <w:u w:val="single"/>
        </w:rPr>
      </w:pPr>
      <w:r>
        <w:rPr>
          <w:u w:val="single"/>
        </w:rPr>
        <w:t>Application</w:t>
        <w:tab/>
        <w:t>Area Supported</w:t>
        <w:tab/>
        <w:t>Functionality</w:t>
        <w:tab/>
        <w:tab/>
        <w:tab/>
        <w:tab/>
      </w:r>
    </w:p>
    <w:p>
      <w:pPr>
        <w:pStyle w:val="Normal"/>
        <w:tabs>
          <w:tab w:val="clear" w:pos="720"/>
          <w:tab w:val="left" w:pos="3060" w:leader="none"/>
          <w:tab w:val="left" w:pos="5220" w:leader="none"/>
        </w:tabs>
        <w:ind w:end="-540"/>
        <w:rPr/>
      </w:pPr>
      <w:r>
        <w:rPr/>
        <w:t>Unify MOPS</w:t>
        <w:tab/>
        <w:t>Marketing Logistics</w:t>
        <w:tab/>
        <w:t>Nominations</w:t>
      </w:r>
    </w:p>
    <w:p>
      <w:pPr>
        <w:pStyle w:val="Normal"/>
        <w:tabs>
          <w:tab w:val="clear" w:pos="720"/>
          <w:tab w:val="left" w:pos="3060" w:leader="none"/>
          <w:tab w:val="left" w:pos="5220" w:leader="none"/>
        </w:tabs>
        <w:ind w:end="-540"/>
        <w:rPr/>
      </w:pPr>
      <w:r>
        <w:rPr/>
        <w:t>Unify POPS</w:t>
        <w:tab/>
        <w:t>Pipeline Logistics</w:t>
        <w:tab/>
        <w:t>Volume Confirmations &amp; Allocations</w:t>
      </w:r>
    </w:p>
    <w:p>
      <w:pPr>
        <w:pStyle w:val="Normal"/>
        <w:tabs>
          <w:tab w:val="clear" w:pos="720"/>
          <w:tab w:val="left" w:pos="3060" w:leader="none"/>
          <w:tab w:val="left" w:pos="5220" w:leader="none"/>
        </w:tabs>
        <w:ind w:end="-540"/>
        <w:rPr/>
      </w:pPr>
      <w:r>
        <w:rPr/>
        <w:t>Unify Volume Management</w:t>
        <w:tab/>
        <w:t>Volume Management</w:t>
        <w:tab/>
        <w:t>Imbalance Management</w:t>
      </w:r>
    </w:p>
    <w:p>
      <w:pPr>
        <w:pStyle w:val="Normal"/>
        <w:tabs>
          <w:tab w:val="clear" w:pos="720"/>
          <w:tab w:val="left" w:pos="3060" w:leader="none"/>
          <w:tab w:val="left" w:pos="5220" w:leader="none"/>
        </w:tabs>
        <w:ind w:end="-540"/>
        <w:rPr/>
      </w:pPr>
      <w:r>
        <w:rPr/>
        <w:t>Unify Settlements</w:t>
        <w:tab/>
        <w:t>Gas Settlements</w:t>
        <w:tab/>
        <w:t>Invoicing &amp; Payments</w:t>
      </w:r>
    </w:p>
    <w:p>
      <w:pPr>
        <w:pStyle w:val="Normal"/>
        <w:tabs>
          <w:tab w:val="clear" w:pos="720"/>
          <w:tab w:val="left" w:pos="3060" w:leader="none"/>
          <w:tab w:val="left" w:pos="5220" w:leader="none"/>
        </w:tabs>
        <w:ind w:end="-540"/>
        <w:rPr/>
      </w:pPr>
      <w:r>
        <w:rPr/>
        <w:t>Unify Accounting</w:t>
        <w:tab/>
        <w:t>Gas Accounting</w:t>
        <w:tab/>
        <w:t>Accruals &amp; Trade A/R</w:t>
      </w:r>
    </w:p>
    <w:p>
      <w:pPr>
        <w:pStyle w:val="Normal"/>
        <w:tabs>
          <w:tab w:val="clear" w:pos="720"/>
          <w:tab w:val="left" w:pos="3060" w:leader="none"/>
          <w:tab w:val="left" w:pos="5220" w:leader="none"/>
        </w:tabs>
        <w:ind w:end="-540"/>
        <w:rPr/>
      </w:pPr>
      <w:r>
        <w:rPr/>
        <w:t>Global Contracts Database</w:t>
        <w:tab/>
        <w:t>Global Contracts</w:t>
        <w:tab/>
        <w:t>Online Contract Data Maintenance</w:t>
      </w:r>
    </w:p>
    <w:p>
      <w:pPr>
        <w:pStyle w:val="Normal"/>
        <w:tabs>
          <w:tab w:val="clear" w:pos="720"/>
          <w:tab w:val="left" w:pos="3060" w:leader="none"/>
          <w:tab w:val="left" w:pos="5220" w:leader="none"/>
        </w:tabs>
        <w:ind w:end="-540"/>
        <w:rPr/>
      </w:pPr>
      <w:r>
        <w:rPr/>
        <w:t>Global Facilities Database</w:t>
        <w:tab/>
        <w:t>Global Facilities</w:t>
        <w:tab/>
        <w:t>Online Meter or Facility Data Maintenance</w:t>
      </w:r>
    </w:p>
    <w:p>
      <w:pPr>
        <w:pStyle w:val="Normal"/>
        <w:tabs>
          <w:tab w:val="clear" w:pos="720"/>
          <w:tab w:val="left" w:pos="3060" w:leader="none"/>
          <w:tab w:val="left" w:pos="5220" w:leader="none"/>
        </w:tabs>
        <w:ind w:end="-540"/>
        <w:rPr/>
      </w:pPr>
      <w:r>
        <w:rPr/>
        <w:t>Global Counterparty Database</w:t>
        <w:tab/>
        <w:t>Global Counterparty</w:t>
        <w:tab/>
        <w:t>Online Customer Data Maintenance</w:t>
      </w:r>
    </w:p>
    <w:p>
      <w:pPr>
        <w:pStyle w:val="Normal"/>
        <w:tabs>
          <w:tab w:val="clear" w:pos="720"/>
          <w:tab w:val="left" w:pos="3060" w:leader="none"/>
          <w:tab w:val="left" w:pos="5220" w:leader="none"/>
        </w:tabs>
        <w:ind w:end="-540"/>
        <w:rPr/>
      </w:pPr>
      <w:r>
        <w:rPr/>
        <w:t>Global Common Codes Database</w:t>
        <w:tab/>
        <w:t>All</w:t>
        <w:tab/>
        <w:t>Table of Codes used for all Applications</w:t>
      </w:r>
    </w:p>
    <w:p>
      <w:pPr>
        <w:pStyle w:val="Normal"/>
        <w:tabs>
          <w:tab w:val="clear" w:pos="720"/>
          <w:tab w:val="left" w:pos="3600" w:leader="none"/>
          <w:tab w:val="left" w:pos="7920" w:leader="none"/>
        </w:tabs>
        <w:ind w:end="-540"/>
        <w:rPr/>
      </w:pPr>
      <w:r>
        <w:rPr/>
      </w:r>
    </w:p>
    <w:p>
      <w:pPr>
        <w:pStyle w:val="Normal"/>
        <w:tabs>
          <w:tab w:val="clear" w:pos="720"/>
          <w:tab w:val="left" w:pos="3600" w:leader="none"/>
          <w:tab w:val="left" w:pos="7920" w:leader="none"/>
        </w:tabs>
        <w:ind w:end="-540"/>
        <w:rPr/>
      </w:pPr>
      <w:r>
        <w:rPr/>
        <w:t>The Company will be required to have access to EDI services for communication of nomination and scheduled volumes to the Company.</w:t>
      </w:r>
    </w:p>
    <w:p>
      <w:pPr>
        <w:pStyle w:val="Normal"/>
        <w:tabs>
          <w:tab w:val="clear" w:pos="720"/>
          <w:tab w:val="left" w:pos="3600" w:leader="none"/>
          <w:tab w:val="left" w:pos="7920" w:leader="none"/>
        </w:tabs>
        <w:ind w:end="-540"/>
        <w:rPr/>
      </w:pPr>
      <w:r>
        <w:rPr/>
      </w:r>
    </w:p>
    <w:p>
      <w:pPr>
        <w:pStyle w:val="Normal"/>
        <w:tabs>
          <w:tab w:val="clear" w:pos="720"/>
          <w:tab w:val="left" w:pos="3600" w:leader="none"/>
          <w:tab w:val="left" w:pos="7920" w:leader="none"/>
        </w:tabs>
        <w:rPr/>
      </w:pPr>
      <w:r>
        <w:rPr>
          <w:b/>
        </w:rPr>
        <w:t>Trading Systems</w:t>
      </w:r>
      <w:r>
        <w:rPr/>
        <w:t xml:space="preserve"> –Enron will provide Company with the ability to access the Enron Gas Trading &amp; Risk Management relating to the HPL Assets and Leased Assets.  These consist of Sitara &amp; ERMS and provide the following functionality:</w:t>
      </w:r>
    </w:p>
    <w:p>
      <w:pPr>
        <w:pStyle w:val="Normal"/>
        <w:tabs>
          <w:tab w:val="clear" w:pos="720"/>
          <w:tab w:val="left" w:pos="3600" w:leader="none"/>
          <w:tab w:val="left" w:pos="7920" w:leader="none"/>
        </w:tabs>
        <w:rPr/>
      </w:pPr>
      <w:r>
        <w:rPr/>
      </w:r>
    </w:p>
    <w:p>
      <w:pPr>
        <w:pStyle w:val="Normal"/>
        <w:tabs>
          <w:tab w:val="clear" w:pos="720"/>
          <w:tab w:val="left" w:pos="3060" w:leader="none"/>
          <w:tab w:val="left" w:pos="5220" w:leader="none"/>
        </w:tabs>
        <w:ind w:end="-540"/>
        <w:rPr>
          <w:u w:val="single"/>
        </w:rPr>
      </w:pPr>
      <w:r>
        <w:rPr>
          <w:u w:val="single"/>
        </w:rPr>
        <w:t>Application</w:t>
        <w:tab/>
        <w:t>Area Supported</w:t>
        <w:tab/>
        <w:t>Functionality</w:t>
        <w:tab/>
        <w:tab/>
        <w:tab/>
        <w:tab/>
      </w:r>
    </w:p>
    <w:p>
      <w:pPr>
        <w:pStyle w:val="Normal"/>
        <w:tabs>
          <w:tab w:val="clear" w:pos="720"/>
          <w:tab w:val="left" w:pos="3060" w:leader="none"/>
          <w:tab w:val="left" w:pos="5220" w:leader="none"/>
        </w:tabs>
        <w:ind w:end="-540"/>
        <w:rPr/>
      </w:pPr>
      <w:r>
        <mc:AlternateContent>
          <mc:Choice Requires="wps">
            <w:drawing>
              <wp:anchor behindDoc="0" distT="0" distB="0" distL="114935" distR="114935" simplePos="0" locked="0" layoutInCell="1" allowOverlap="1" relativeHeight="2">
                <wp:simplePos x="0" y="0"/>
                <wp:positionH relativeFrom="column">
                  <wp:posOffset>0</wp:posOffset>
                </wp:positionH>
                <wp:positionV relativeFrom="paragraph">
                  <wp:posOffset>24765</wp:posOffset>
                </wp:positionV>
                <wp:extent cx="0" cy="0"/>
                <wp:effectExtent l="5080" t="5080" r="5080" b="5080"/>
                <wp:wrapNone/>
                <wp:docPr id="1" name=""/>
                <a:graphic xmlns:a="http://schemas.openxmlformats.org/drawingml/2006/main">
                  <a:graphicData uri="http://schemas.microsoft.com/office/word/2010/wordprocessingShape">
                    <wps:wsp>
                      <wps:cNvSpPr/>
                      <wps:spPr>
                        <a:xfrm>
                          <a:off x="0" y="0"/>
                          <a:ext cx="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0pt,1.95pt" to="0pt,1.95pt" stroked="t" o:allowincell="f" style="position:absolute">
                <v:stroke color="black" weight="9360" joinstyle="miter" endcap="flat"/>
                <v:fill o:detectmouseclick="t" on="false"/>
                <w10:wrap type="none"/>
              </v:line>
            </w:pict>
          </mc:Fallback>
        </mc:AlternateContent>
      </w:r>
      <w:r>
        <w:rPr/>
        <w:t>Sitara Trade Blotter</w:t>
        <w:tab/>
        <w:t>Trading</w:t>
        <w:tab/>
        <w:tab/>
        <w:t>Trade Capture</w:t>
      </w:r>
    </w:p>
    <w:p>
      <w:pPr>
        <w:pStyle w:val="Normal"/>
        <w:tabs>
          <w:tab w:val="clear" w:pos="720"/>
          <w:tab w:val="left" w:pos="3060" w:leader="none"/>
          <w:tab w:val="left" w:pos="5220" w:leader="none"/>
        </w:tabs>
        <w:ind w:end="-540"/>
        <w:rPr/>
      </w:pPr>
      <w:r>
        <w:rPr/>
        <w:t>Sitara Deal Manager</w:t>
        <w:tab/>
        <w:t>Trading</w:t>
        <w:tab/>
        <w:tab/>
        <w:t>Deal Maintenance</w:t>
      </w:r>
    </w:p>
    <w:p>
      <w:pPr>
        <w:pStyle w:val="Normal"/>
        <w:tabs>
          <w:tab w:val="clear" w:pos="720"/>
          <w:tab w:val="left" w:pos="3060" w:leader="none"/>
          <w:tab w:val="left" w:pos="5220" w:leader="none"/>
        </w:tabs>
        <w:ind w:end="-540"/>
        <w:rPr/>
      </w:pPr>
      <w:r>
        <w:rPr/>
        <w:t>Sitara Physical Position Manager</w:t>
        <w:tab/>
        <w:t>Trading</w:t>
        <w:tab/>
        <w:tab/>
        <w:t>Real Time Physical Positions</w:t>
      </w:r>
    </w:p>
    <w:p>
      <w:pPr>
        <w:pStyle w:val="Normal"/>
        <w:tabs>
          <w:tab w:val="clear" w:pos="720"/>
          <w:tab w:val="left" w:pos="3060" w:leader="none"/>
          <w:tab w:val="left" w:pos="5220" w:leader="none"/>
        </w:tabs>
        <w:ind w:end="-540"/>
        <w:rPr/>
      </w:pPr>
      <w:r>
        <w:rPr/>
        <w:t xml:space="preserve">Sitara Deal Ticker </w:t>
        <w:tab/>
        <w:t>Trading</w:t>
        <w:tab/>
        <w:tab/>
        <w:t>Real Time Deal Ticker</w:t>
      </w:r>
    </w:p>
    <w:p>
      <w:pPr>
        <w:pStyle w:val="Normal"/>
        <w:tabs>
          <w:tab w:val="clear" w:pos="720"/>
          <w:tab w:val="left" w:pos="3060" w:leader="none"/>
          <w:tab w:val="left" w:pos="5220" w:leader="none"/>
        </w:tabs>
        <w:ind w:end="-540"/>
        <w:rPr/>
      </w:pPr>
      <w:r>
        <w:rPr/>
        <w:t>Sitara Portfolio Manager</w:t>
        <w:tab/>
        <w:t>Trading</w:t>
        <w:tab/>
        <w:tab/>
        <w:t>Portfolio Definition and Maintenance</w:t>
      </w:r>
    </w:p>
    <w:p>
      <w:pPr>
        <w:pStyle w:val="Normal"/>
        <w:tabs>
          <w:tab w:val="clear" w:pos="720"/>
          <w:tab w:val="left" w:pos="3060" w:leader="none"/>
          <w:tab w:val="left" w:pos="5220" w:leader="none"/>
        </w:tabs>
        <w:ind w:end="-540"/>
        <w:rPr/>
      </w:pPr>
      <w:r>
        <w:rPr/>
        <w:t>ERMS Valuation</w:t>
        <w:tab/>
        <w:t>Risk Management</w:t>
        <w:tab/>
        <w:tab/>
        <w:t>MTM Valuation</w:t>
      </w:r>
    </w:p>
    <w:p>
      <w:pPr>
        <w:pStyle w:val="Normal"/>
        <w:tabs>
          <w:tab w:val="clear" w:pos="720"/>
          <w:tab w:val="left" w:pos="3060" w:leader="none"/>
          <w:tab w:val="left" w:pos="5220" w:leader="none"/>
        </w:tabs>
        <w:ind w:end="-540"/>
        <w:rPr/>
      </w:pPr>
      <w:r>
        <w:rPr/>
        <w:t>ERMS Reporting</w:t>
        <w:tab/>
        <w:t>Risk Management</w:t>
        <w:tab/>
        <w:tab/>
        <w:t>Daily Position Reporting</w:t>
      </w:r>
    </w:p>
    <w:p>
      <w:pPr>
        <w:sectPr>
          <w:type w:val="continuous"/>
          <w:pgSz w:w="12240" w:h="15840"/>
          <w:pgMar w:left="1800" w:right="1800" w:gutter="0" w:header="720" w:top="1440" w:footer="720" w:bottom="1440"/>
          <w:formProt w:val="false"/>
          <w:titlePg/>
          <w:textDirection w:val="lrTb"/>
          <w:docGrid w:type="default" w:linePitch="360" w:charSpace="0"/>
        </w:sectPr>
      </w:pPr>
    </w:p>
    <w:p>
      <w:pPr>
        <w:pStyle w:val="Header"/>
        <w:tabs>
          <w:tab w:val="clear" w:pos="4320"/>
          <w:tab w:val="clear" w:pos="8640"/>
          <w:tab w:val="left" w:pos="3600" w:leader="none"/>
          <w:tab w:val="left" w:pos="7920" w:leader="none"/>
        </w:tabs>
        <w:rPr/>
      </w:pPr>
      <w:r>
        <w:rPr/>
        <w:t>Credit Aggregation System</w:t>
      </w:r>
      <w:r>
        <w:rPr>
          <w:rStyle w:val="FootnoteCharacters"/>
          <w:rStyle w:val="FootnoteReference"/>
        </w:rPr>
        <w:footnoteReference w:id="2"/>
      </w:r>
      <w:r>
        <w:rPr/>
        <w:t xml:space="preserve">          Trading/Risk Management      Real Time Credit System</w:t>
        <w:tab/>
      </w:r>
    </w:p>
    <w:p>
      <w:pPr>
        <w:pStyle w:val="Normal"/>
        <w:tabs>
          <w:tab w:val="clear" w:pos="720"/>
          <w:tab w:val="left" w:pos="3600" w:leader="none"/>
          <w:tab w:val="left" w:pos="7920" w:leader="none"/>
        </w:tabs>
        <w:rPr/>
      </w:pPr>
      <w:r>
        <w:rPr/>
      </w:r>
    </w:p>
    <w:p>
      <w:pPr>
        <w:pStyle w:val="Normal"/>
        <w:tabs>
          <w:tab w:val="clear" w:pos="720"/>
          <w:tab w:val="left" w:pos="3600" w:leader="none"/>
          <w:tab w:val="left" w:pos="7920" w:leader="none"/>
        </w:tabs>
        <w:rPr>
          <w:b/>
        </w:rPr>
      </w:pPr>
      <w:r>
        <w:rPr>
          <w:b/>
        </w:rPr>
        <w:t>Availability</w:t>
      </w:r>
    </w:p>
    <w:p>
      <w:pPr>
        <w:pStyle w:val="Normal"/>
        <w:tabs>
          <w:tab w:val="clear" w:pos="720"/>
          <w:tab w:val="left" w:pos="3600" w:leader="none"/>
          <w:tab w:val="left" w:pos="7920" w:leader="none"/>
        </w:tabs>
        <w:rPr/>
      </w:pPr>
      <w:r>
        <w:rPr/>
        <w:t>These applications will be available from 7:00 a.m. to 7:00 p.m. Houston, Texas time except for scheduled maintenance and unscheduled downtime provided that scheduled maintenance will be scheduled for evenings and weekends to the extent commercially feasible.</w:t>
      </w:r>
    </w:p>
    <w:p>
      <w:pPr>
        <w:pStyle w:val="Normal"/>
        <w:tabs>
          <w:tab w:val="clear" w:pos="720"/>
          <w:tab w:val="left" w:pos="3600" w:leader="none"/>
          <w:tab w:val="left" w:pos="7920" w:leader="none"/>
        </w:tabs>
        <w:rPr/>
      </w:pPr>
      <w:r>
        <w:rPr/>
      </w:r>
    </w:p>
    <w:p>
      <w:pPr>
        <w:pStyle w:val="Heading2"/>
        <w:ind w:hanging="0" w:start="0"/>
        <w:rPr>
          <w:sz w:val="22"/>
        </w:rPr>
      </w:pPr>
      <w:r>
        <w:rPr>
          <w:sz w:val="22"/>
        </w:rPr>
        <w:t>System Setup</w:t>
      </w:r>
    </w:p>
    <w:p>
      <w:pPr>
        <w:pStyle w:val="Normal"/>
        <w:rPr/>
      </w:pPr>
      <w:r>
        <w:rPr/>
        <w:t>The Services include partitioning existing HPL data into the Company databases and the set up of the databases requiring the loading of existing Company data and relevant Company data into the applications defined in this list of Services.  Enron will not provide price curves or any non-HPL Global Contact Counterparty information.  The Services also include setup of up to fifty (50) Company employees with security access to their information as defined by the Company management.</w:t>
      </w:r>
    </w:p>
    <w:p>
      <w:pPr>
        <w:pStyle w:val="Normal"/>
        <w:tabs>
          <w:tab w:val="clear" w:pos="720"/>
          <w:tab w:val="left" w:pos="3600" w:leader="none"/>
          <w:tab w:val="left" w:pos="7920" w:leader="none"/>
        </w:tabs>
        <w:rPr/>
      </w:pPr>
      <w:r>
        <w:rPr/>
      </w:r>
    </w:p>
    <w:p>
      <w:pPr>
        <w:pStyle w:val="Heading2"/>
        <w:ind w:hanging="0" w:start="0"/>
        <w:rPr>
          <w:sz w:val="22"/>
        </w:rPr>
      </w:pPr>
      <w:r>
        <w:rPr>
          <w:sz w:val="22"/>
        </w:rPr>
        <w:t>Licensing</w:t>
      </w:r>
    </w:p>
    <w:p>
      <w:pPr>
        <w:pStyle w:val="Normal"/>
        <w:rPr/>
      </w:pPr>
      <w:r>
        <w:rPr/>
        <w:t>The Company is not responsible for the licensing fees for any of the applications expressly described in this list of Services.</w:t>
      </w:r>
    </w:p>
    <w:p>
      <w:pPr>
        <w:pStyle w:val="Normal"/>
        <w:rPr/>
      </w:pPr>
      <w:r>
        <w:rPr/>
      </w:r>
    </w:p>
    <w:p>
      <w:pPr>
        <w:pStyle w:val="BodyText"/>
        <w:rPr>
          <w:b/>
          <w:sz w:val="22"/>
        </w:rPr>
      </w:pPr>
      <w:r>
        <w:rPr>
          <w:b/>
          <w:sz w:val="22"/>
        </w:rPr>
        <w:t>Common Hardware</w:t>
      </w:r>
    </w:p>
    <w:p>
      <w:pPr>
        <w:pStyle w:val="BodyText"/>
        <w:rPr>
          <w:sz w:val="22"/>
        </w:rPr>
      </w:pPr>
      <w:r>
        <w:rPr>
          <w:sz w:val="22"/>
        </w:rPr>
        <w:t>The GMS/Trading systems will not be exclusive to Company and Company will share a common hardware infrastructure.</w:t>
      </w:r>
    </w:p>
    <w:p>
      <w:pPr>
        <w:pStyle w:val="Normal"/>
        <w:tabs>
          <w:tab w:val="clear" w:pos="720"/>
          <w:tab w:val="left" w:pos="3600" w:leader="none"/>
          <w:tab w:val="left" w:pos="7920" w:leader="none"/>
        </w:tabs>
        <w:rPr>
          <w:sz w:val="22"/>
        </w:rPr>
      </w:pPr>
      <w:r>
        <w:rPr>
          <w:sz w:val="22"/>
        </w:rPr>
      </w:r>
    </w:p>
    <w:p>
      <w:pPr>
        <w:pStyle w:val="BodyText"/>
        <w:rPr>
          <w:b/>
          <w:sz w:val="22"/>
        </w:rPr>
      </w:pPr>
      <w:r>
        <w:rPr>
          <w:b/>
          <w:sz w:val="22"/>
        </w:rPr>
        <w:t>Infrastructure</w:t>
      </w:r>
    </w:p>
    <w:p>
      <w:pPr>
        <w:pStyle w:val="BodyText"/>
        <w:rPr>
          <w:sz w:val="22"/>
        </w:rPr>
      </w:pPr>
      <w:r>
        <w:rPr>
          <w:sz w:val="22"/>
        </w:rPr>
        <w:t>The Services include access to that hardware and software reasonably required to support the Gas Management and Trading systems related to the HPL Assets and Leased Assets, including, but not limited to:</w:t>
      </w:r>
    </w:p>
    <w:p>
      <w:pPr>
        <w:pStyle w:val="BodyText"/>
        <w:numPr>
          <w:ilvl w:val="0"/>
          <w:numId w:val="4"/>
        </w:numPr>
        <w:rPr>
          <w:sz w:val="22"/>
        </w:rPr>
      </w:pPr>
      <w:r>
        <w:rPr>
          <w:sz w:val="22"/>
        </w:rPr>
        <w:t>Network and server hardware</w:t>
      </w:r>
    </w:p>
    <w:p>
      <w:pPr>
        <w:pStyle w:val="BodyText"/>
        <w:numPr>
          <w:ilvl w:val="0"/>
          <w:numId w:val="4"/>
        </w:numPr>
        <w:rPr>
          <w:sz w:val="22"/>
        </w:rPr>
      </w:pPr>
      <w:r>
        <w:rPr>
          <w:sz w:val="22"/>
        </w:rPr>
        <w:t>Network and server software</w:t>
      </w:r>
    </w:p>
    <w:p>
      <w:pPr>
        <w:pStyle w:val="BodyText"/>
        <w:numPr>
          <w:ilvl w:val="0"/>
          <w:numId w:val="4"/>
        </w:numPr>
        <w:rPr>
          <w:sz w:val="22"/>
        </w:rPr>
      </w:pPr>
      <w:r>
        <w:rPr>
          <w:sz w:val="22"/>
        </w:rPr>
        <w:t>Disk space for Company data</w:t>
      </w:r>
    </w:p>
    <w:p>
      <w:pPr>
        <w:pStyle w:val="BodyText"/>
        <w:rPr>
          <w:sz w:val="22"/>
        </w:rPr>
      </w:pPr>
      <w:r>
        <w:rPr>
          <w:sz w:val="22"/>
        </w:rPr>
      </w:r>
    </w:p>
    <w:p>
      <w:pPr>
        <w:pStyle w:val="BodyText"/>
        <w:rPr>
          <w:b/>
          <w:sz w:val="22"/>
        </w:rPr>
      </w:pPr>
      <w:r>
        <w:rPr>
          <w:b/>
          <w:sz w:val="22"/>
        </w:rPr>
        <w:t>Back-end Support</w:t>
      </w:r>
    </w:p>
    <w:p>
      <w:pPr>
        <w:pStyle w:val="BodyText"/>
        <w:rPr>
          <w:sz w:val="22"/>
        </w:rPr>
      </w:pPr>
      <w:r>
        <w:rPr>
          <w:sz w:val="22"/>
        </w:rPr>
        <w:t>The Services also include support for the following:</w:t>
      </w:r>
    </w:p>
    <w:p>
      <w:pPr>
        <w:pStyle w:val="BodyText"/>
        <w:numPr>
          <w:ilvl w:val="0"/>
          <w:numId w:val="2"/>
        </w:numPr>
        <w:rPr>
          <w:sz w:val="22"/>
        </w:rPr>
      </w:pPr>
      <w:r>
        <w:rPr>
          <w:sz w:val="22"/>
        </w:rPr>
        <w:t>Network hardware/software support (including break/fix service)</w:t>
      </w:r>
    </w:p>
    <w:p>
      <w:pPr>
        <w:pStyle w:val="BodyText"/>
        <w:numPr>
          <w:ilvl w:val="0"/>
          <w:numId w:val="2"/>
        </w:numPr>
        <w:rPr>
          <w:sz w:val="22"/>
        </w:rPr>
      </w:pPr>
      <w:r>
        <w:rPr>
          <w:sz w:val="22"/>
        </w:rPr>
        <w:t>Server hardware/software support for UNIX and NT (system administration)</w:t>
      </w:r>
    </w:p>
    <w:p>
      <w:pPr>
        <w:pStyle w:val="BodyText"/>
        <w:numPr>
          <w:ilvl w:val="0"/>
          <w:numId w:val="2"/>
        </w:numPr>
        <w:rPr>
          <w:sz w:val="22"/>
        </w:rPr>
      </w:pPr>
      <w:r>
        <w:rPr>
          <w:sz w:val="22"/>
        </w:rPr>
        <w:t>Database administration</w:t>
      </w:r>
    </w:p>
    <w:p>
      <w:pPr>
        <w:pStyle w:val="BodyText"/>
        <w:numPr>
          <w:ilvl w:val="0"/>
          <w:numId w:val="2"/>
        </w:numPr>
        <w:rPr>
          <w:sz w:val="22"/>
        </w:rPr>
      </w:pPr>
      <w:r>
        <w:rPr>
          <w:sz w:val="22"/>
        </w:rPr>
        <w:t>Data administration</w:t>
      </w:r>
    </w:p>
    <w:p>
      <w:pPr>
        <w:pStyle w:val="BodyText"/>
        <w:numPr>
          <w:ilvl w:val="0"/>
          <w:numId w:val="2"/>
        </w:numPr>
        <w:rPr>
          <w:sz w:val="22"/>
        </w:rPr>
      </w:pPr>
      <w:r>
        <w:rPr>
          <w:sz w:val="22"/>
        </w:rPr>
        <w:t>Gas Management/Trading System maintenance, bug fix, and improvements not specific to</w:t>
      </w:r>
    </w:p>
    <w:p>
      <w:pPr>
        <w:pStyle w:val="BodyText"/>
        <w:rPr>
          <w:sz w:val="22"/>
        </w:rPr>
      </w:pPr>
      <w:r>
        <w:rPr>
          <w:sz w:val="22"/>
        </w:rPr>
        <w:t xml:space="preserve">       </w:t>
      </w:r>
      <w:r>
        <w:rPr>
          <w:sz w:val="22"/>
        </w:rPr>
        <w:t>Company.</w:t>
      </w:r>
    </w:p>
    <w:p>
      <w:pPr>
        <w:pStyle w:val="BodyText"/>
        <w:numPr>
          <w:ilvl w:val="0"/>
          <w:numId w:val="2"/>
        </w:numPr>
        <w:rPr>
          <w:sz w:val="22"/>
        </w:rPr>
      </w:pPr>
      <w:r>
        <w:rPr>
          <w:sz w:val="22"/>
        </w:rPr>
        <w:t>All necessary licenses to support the described applications (database, operating system, etc.).</w:t>
      </w:r>
    </w:p>
    <w:p>
      <w:pPr>
        <w:pStyle w:val="BodyText"/>
        <w:rPr>
          <w:sz w:val="22"/>
        </w:rPr>
      </w:pPr>
      <w:r>
        <w:rPr>
          <w:sz w:val="22"/>
        </w:rPr>
      </w:r>
    </w:p>
    <w:p>
      <w:pPr>
        <w:pStyle w:val="BodyText"/>
        <w:rPr>
          <w:b/>
          <w:sz w:val="22"/>
        </w:rPr>
      </w:pPr>
      <w:r>
        <w:rPr>
          <w:b/>
          <w:sz w:val="22"/>
        </w:rPr>
        <w:t>Misc.</w:t>
      </w:r>
    </w:p>
    <w:p>
      <w:pPr>
        <w:pStyle w:val="Normal"/>
        <w:numPr>
          <w:ilvl w:val="0"/>
          <w:numId w:val="3"/>
        </w:numPr>
        <w:tabs>
          <w:tab w:val="clear" w:pos="720"/>
          <w:tab w:val="left" w:pos="3600" w:leader="none"/>
          <w:tab w:val="left" w:pos="7920" w:leader="none"/>
        </w:tabs>
        <w:rPr/>
      </w:pPr>
      <w:r>
        <w:rPr/>
        <w:t xml:space="preserve">Company will be required to provide a standard suite of desktop applications designated by </w:t>
      </w:r>
    </w:p>
    <w:p>
      <w:pPr>
        <w:pStyle w:val="Normal"/>
        <w:tabs>
          <w:tab w:val="clear" w:pos="720"/>
          <w:tab w:val="left" w:pos="3600" w:leader="none"/>
          <w:tab w:val="left" w:pos="7920" w:leader="none"/>
        </w:tabs>
        <w:rPr/>
      </w:pPr>
      <w:r>
        <w:rPr/>
        <w:t xml:space="preserve">      </w:t>
      </w:r>
      <w:r>
        <w:rPr/>
        <w:t xml:space="preserve">Enron from time to time and which currently includes the following Microsoft Office </w:t>
      </w:r>
    </w:p>
    <w:p>
      <w:pPr>
        <w:pStyle w:val="Normal"/>
        <w:tabs>
          <w:tab w:val="clear" w:pos="720"/>
          <w:tab w:val="left" w:pos="3600" w:leader="none"/>
          <w:tab w:val="left" w:pos="7920" w:leader="none"/>
        </w:tabs>
        <w:rPr/>
      </w:pPr>
      <w:r>
        <w:rPr/>
        <w:t xml:space="preserve">      </w:t>
      </w:r>
      <w:r>
        <w:rPr/>
        <w:t>Products:  Excel, Word and PowerPoint.</w:t>
      </w:r>
    </w:p>
    <w:p>
      <w:pPr>
        <w:pStyle w:val="Normal"/>
        <w:tabs>
          <w:tab w:val="clear" w:pos="720"/>
          <w:tab w:val="left" w:pos="3600" w:leader="none"/>
          <w:tab w:val="left" w:pos="7920" w:leader="none"/>
        </w:tabs>
        <w:rPr/>
      </w:pPr>
      <w:r>
        <w:rPr/>
      </w:r>
    </w:p>
    <w:p>
      <w:pPr>
        <w:pStyle w:val="Normal"/>
        <w:numPr>
          <w:ilvl w:val="0"/>
          <w:numId w:val="3"/>
        </w:numPr>
        <w:tabs>
          <w:tab w:val="clear" w:pos="720"/>
          <w:tab w:val="left" w:pos="3600" w:leader="none"/>
          <w:tab w:val="left" w:pos="7920" w:leader="none"/>
        </w:tabs>
        <w:rPr/>
      </w:pPr>
      <w:r>
        <w:rPr/>
        <w:t>Enron’s standard remote access application (which currently is Microsoft’s Terminal Server)</w:t>
      </w:r>
    </w:p>
    <w:p>
      <w:pPr>
        <w:pStyle w:val="Normal"/>
        <w:tabs>
          <w:tab w:val="clear" w:pos="720"/>
          <w:tab w:val="left" w:pos="3600" w:leader="none"/>
          <w:tab w:val="left" w:pos="7920" w:leader="none"/>
        </w:tabs>
        <w:rPr/>
      </w:pPr>
      <w:r>
        <w:rPr/>
        <w:t xml:space="preserve">      </w:t>
      </w:r>
      <w:r>
        <w:rPr/>
        <w:t>will be provided by Enron.</w:t>
      </w:r>
    </w:p>
    <w:p>
      <w:pPr>
        <w:pStyle w:val="Normal"/>
        <w:rPr/>
      </w:pPr>
      <w:r>
        <w:rPr/>
      </w:r>
    </w:p>
    <w:p>
      <w:pPr>
        <w:pStyle w:val="Normal"/>
        <w:numPr>
          <w:ilvl w:val="0"/>
          <w:numId w:val="3"/>
        </w:numPr>
        <w:rPr/>
      </w:pPr>
      <w:r>
        <w:rPr/>
        <w:t xml:space="preserve">Enron will provide network cabling, routers, and computing infrastructure necessary for </w:t>
      </w:r>
    </w:p>
    <w:p>
      <w:pPr>
        <w:pStyle w:val="Normal"/>
        <w:rPr/>
      </w:pPr>
      <w:r>
        <w:rPr/>
        <w:t xml:space="preserve">      </w:t>
      </w:r>
      <w:r>
        <w:rPr/>
        <w:t xml:space="preserve">Company to utilize the above applications.  The Company will be responsible for any </w:t>
      </w:r>
    </w:p>
    <w:p>
      <w:pPr>
        <w:pStyle w:val="Normal"/>
        <w:rPr/>
      </w:pPr>
      <w:r>
        <w:rPr/>
        <w:t xml:space="preserve">      </w:t>
      </w:r>
      <w:r>
        <w:rPr/>
        <w:t>additional communications costs including lease lines and related network infrastructure .</w:t>
      </w:r>
    </w:p>
    <w:p>
      <w:pPr>
        <w:pStyle w:val="Normal"/>
        <w:rPr/>
      </w:pPr>
      <w:r>
        <w:rPr/>
      </w:r>
    </w:p>
    <w:p>
      <w:pPr>
        <w:pStyle w:val="Normal"/>
        <w:numPr>
          <w:ilvl w:val="0"/>
          <w:numId w:val="3"/>
        </w:numPr>
        <w:suppressAutoHyphens w:val="true"/>
        <w:rPr/>
      </w:pPr>
      <w:r>
        <w:rPr/>
        <w:t xml:space="preserve">Enron will provide one day of training to 25 employees in the use of the Sitara, Unify, and </w:t>
      </w:r>
    </w:p>
    <w:p>
      <w:pPr>
        <w:pStyle w:val="Normal"/>
        <w:suppressAutoHyphens w:val="true"/>
        <w:rPr/>
      </w:pPr>
      <w:r>
        <w:rPr/>
        <w:t xml:space="preserve">      </w:t>
      </w:r>
      <w:r>
        <w:rPr/>
        <w:t xml:space="preserve">Risk Management applications.  Explanation of added system functionality will be provided </w:t>
      </w:r>
    </w:p>
    <w:p>
      <w:pPr>
        <w:pStyle w:val="Normal"/>
        <w:suppressAutoHyphens w:val="true"/>
        <w:rPr/>
      </w:pPr>
      <w:r>
        <w:rPr/>
        <w:t xml:space="preserve">      </w:t>
      </w:r>
      <w:r>
        <w:rPr/>
        <w:t xml:space="preserve">online on a separate hourly charge basis.  Additional training will be available for new </w:t>
      </w:r>
    </w:p>
    <w:p>
      <w:pPr>
        <w:pStyle w:val="Normal"/>
        <w:suppressAutoHyphens w:val="true"/>
        <w:rPr/>
      </w:pPr>
      <w:r>
        <w:rPr/>
        <w:t xml:space="preserve">      </w:t>
      </w:r>
      <w:r>
        <w:rPr/>
        <w:t xml:space="preserve">Company employees at a cost of $500 per employee. </w:t>
      </w:r>
    </w:p>
    <w:p>
      <w:pPr>
        <w:pStyle w:val="Normal"/>
        <w:suppressAutoHyphens w:val="true"/>
        <w:rPr/>
      </w:pPr>
      <w:r>
        <w:rPr/>
      </w:r>
    </w:p>
    <w:p>
      <w:pPr>
        <w:pStyle w:val="Header"/>
        <w:numPr>
          <w:ilvl w:val="0"/>
          <w:numId w:val="3"/>
        </w:numPr>
        <w:tabs>
          <w:tab w:val="clear" w:pos="4320"/>
          <w:tab w:val="clear" w:pos="8640"/>
        </w:tabs>
        <w:suppressAutoHyphens w:val="true"/>
        <w:rPr/>
      </w:pPr>
      <w:r>
        <w:rPr/>
        <w:t xml:space="preserve">Enron will provide customer software development services for modifications to Enron </w:t>
      </w:r>
    </w:p>
    <w:p>
      <w:pPr>
        <w:pStyle w:val="Header"/>
        <w:tabs>
          <w:tab w:val="clear" w:pos="4320"/>
          <w:tab w:val="clear" w:pos="8640"/>
        </w:tabs>
        <w:suppressAutoHyphens w:val="true"/>
        <w:rPr/>
      </w:pPr>
      <w:r>
        <w:rPr/>
        <w:t xml:space="preserve">      </w:t>
      </w:r>
      <w:r>
        <w:rPr/>
        <w:t xml:space="preserve">proprietary applications requested by Company from time to time. Company must submit a </w:t>
      </w:r>
    </w:p>
    <w:p>
      <w:pPr>
        <w:pStyle w:val="Header"/>
        <w:tabs>
          <w:tab w:val="clear" w:pos="4320"/>
          <w:tab w:val="clear" w:pos="8640"/>
        </w:tabs>
        <w:suppressAutoHyphens w:val="true"/>
        <w:rPr/>
      </w:pPr>
      <w:r>
        <w:rPr/>
        <w:t xml:space="preserve">      </w:t>
      </w:r>
      <w:r>
        <w:rPr/>
        <w:t xml:space="preserve">detailed user requirement description in connection with any such request.  Enron will then </w:t>
      </w:r>
    </w:p>
    <w:p>
      <w:pPr>
        <w:pStyle w:val="Header"/>
        <w:tabs>
          <w:tab w:val="clear" w:pos="4320"/>
          <w:tab w:val="clear" w:pos="8640"/>
        </w:tabs>
        <w:suppressAutoHyphens w:val="true"/>
        <w:rPr/>
      </w:pPr>
      <w:r>
        <w:rPr/>
        <w:t xml:space="preserve">      </w:t>
      </w:r>
      <w:r>
        <w:rPr/>
        <w:t xml:space="preserve">provide an estimate of the costs to provide such modifications using an hourly rate of $200 </w:t>
      </w:r>
    </w:p>
    <w:p>
      <w:pPr>
        <w:pStyle w:val="Header"/>
        <w:tabs>
          <w:tab w:val="clear" w:pos="4320"/>
          <w:tab w:val="clear" w:pos="8640"/>
        </w:tabs>
        <w:suppressAutoHyphens w:val="true"/>
        <w:rPr/>
      </w:pPr>
      <w:r>
        <w:rPr/>
        <w:t xml:space="preserve">      </w:t>
      </w:r>
      <w:r>
        <w:rPr/>
        <w:t xml:space="preserve">per hour.  If agreed to by the parties, Enron will provide the development services and </w:t>
      </w:r>
    </w:p>
    <w:p>
      <w:pPr>
        <w:pStyle w:val="Header"/>
        <w:tabs>
          <w:tab w:val="clear" w:pos="4320"/>
          <w:tab w:val="clear" w:pos="8640"/>
        </w:tabs>
        <w:suppressAutoHyphens w:val="true"/>
        <w:rPr/>
      </w:pPr>
      <w:r>
        <w:rPr/>
        <w:t xml:space="preserve">      </w:t>
      </w:r>
      <w:r>
        <w:rPr/>
        <w:t xml:space="preserve">implementation at an hourly rate of $200 per hour and Company will pay for the actual hours </w:t>
      </w:r>
    </w:p>
    <w:p>
      <w:pPr>
        <w:pStyle w:val="Header"/>
        <w:tabs>
          <w:tab w:val="clear" w:pos="4320"/>
          <w:tab w:val="clear" w:pos="8640"/>
        </w:tabs>
        <w:suppressAutoHyphens w:val="true"/>
        <w:rPr/>
      </w:pPr>
      <w:r>
        <w:rPr/>
        <w:t xml:space="preserve">      </w:t>
      </w:r>
      <w:r>
        <w:rPr/>
        <w:t xml:space="preserve">expended by Enron personnel whether more or less than the estimate.  Enron’s agreement to </w:t>
      </w:r>
    </w:p>
    <w:p>
      <w:pPr>
        <w:pStyle w:val="Header"/>
        <w:tabs>
          <w:tab w:val="clear" w:pos="4320"/>
          <w:tab w:val="clear" w:pos="8640"/>
        </w:tabs>
        <w:suppressAutoHyphens w:val="true"/>
        <w:rPr/>
      </w:pPr>
      <w:r>
        <w:rPr/>
        <w:t xml:space="preserve">      </w:t>
      </w:r>
      <w:r>
        <w:rPr/>
        <w:t xml:space="preserve">provide development services is subject to the reasonable availability of the personnel to </w:t>
      </w:r>
    </w:p>
    <w:p>
      <w:pPr>
        <w:pStyle w:val="Header"/>
        <w:tabs>
          <w:tab w:val="clear" w:pos="4320"/>
          <w:tab w:val="clear" w:pos="8640"/>
        </w:tabs>
        <w:suppressAutoHyphens w:val="true"/>
        <w:rPr/>
      </w:pPr>
      <w:r>
        <w:rPr/>
        <w:t xml:space="preserve">      </w:t>
      </w:r>
      <w:r>
        <w:rPr/>
        <w:t xml:space="preserve">perform such services.  Company employees must test and approve all modifications prior to </w:t>
      </w:r>
    </w:p>
    <w:p>
      <w:pPr>
        <w:pStyle w:val="Header"/>
        <w:tabs>
          <w:tab w:val="clear" w:pos="4320"/>
          <w:tab w:val="clear" w:pos="8640"/>
        </w:tabs>
        <w:suppressAutoHyphens w:val="true"/>
        <w:rPr/>
      </w:pPr>
      <w:r>
        <w:rPr/>
        <w:t xml:space="preserve">      </w:t>
      </w:r>
      <w:r>
        <w:rPr/>
        <w:t xml:space="preserve">implementation and provide reasonable cooperation and assistance in connection with the </w:t>
      </w:r>
    </w:p>
    <w:p>
      <w:pPr>
        <w:pStyle w:val="Header"/>
        <w:tabs>
          <w:tab w:val="clear" w:pos="4320"/>
          <w:tab w:val="clear" w:pos="8640"/>
        </w:tabs>
        <w:suppressAutoHyphens w:val="true"/>
        <w:rPr/>
      </w:pPr>
      <w:r>
        <w:rPr/>
        <w:t xml:space="preserve">      </w:t>
      </w:r>
      <w:r>
        <w:rPr/>
        <w:t>development and implementation of any modifications.</w:t>
      </w:r>
    </w:p>
    <w:p>
      <w:pPr>
        <w:pStyle w:val="Normal"/>
        <w:suppressAutoHyphens w:val="true"/>
        <w:rPr/>
      </w:pPr>
      <w:r>
        <w:rPr/>
      </w:r>
    </w:p>
    <w:p>
      <w:pPr>
        <w:pStyle w:val="Header"/>
        <w:numPr>
          <w:ilvl w:val="0"/>
          <w:numId w:val="3"/>
        </w:numPr>
        <w:tabs>
          <w:tab w:val="clear" w:pos="4320"/>
          <w:tab w:val="clear" w:pos="8640"/>
        </w:tabs>
        <w:suppressAutoHyphens w:val="true"/>
        <w:rPr>
          <w:b/>
          <w:i/>
          <w:i/>
        </w:rPr>
      </w:pPr>
      <w:r>
        <w:rPr/>
        <w:t xml:space="preserve">Except for software upgrades to the applications specified in this </w:t>
      </w:r>
      <w:r>
        <w:rPr>
          <w:u w:val="single"/>
        </w:rPr>
        <w:t>Exhibit A</w:t>
      </w:r>
      <w:r>
        <w:rPr/>
        <w:t xml:space="preserve"> made generally </w:t>
      </w:r>
    </w:p>
    <w:p>
      <w:pPr>
        <w:pStyle w:val="Normal"/>
        <w:suppressAutoHyphens w:val="true"/>
        <w:rPr/>
      </w:pPr>
      <w:r>
        <w:rPr/>
        <w:t xml:space="preserve">      </w:t>
      </w:r>
      <w:r>
        <w:rPr/>
        <w:t xml:space="preserve">available to Enron and its affiliates at no additional cost to Enron, all hardware and software </w:t>
      </w:r>
    </w:p>
    <w:p>
      <w:pPr>
        <w:pStyle w:val="Normal"/>
        <w:suppressAutoHyphens w:val="true"/>
        <w:rPr/>
      </w:pPr>
      <w:r>
        <w:rPr/>
        <w:t xml:space="preserve">      </w:t>
      </w:r>
      <w:r>
        <w:rPr/>
        <w:t xml:space="preserve">upgrades and additional hardware or software acquired by Enron on behalf of Company will </w:t>
      </w:r>
    </w:p>
    <w:p>
      <w:pPr>
        <w:pStyle w:val="Normal"/>
        <w:suppressAutoHyphens w:val="true"/>
        <w:rPr/>
      </w:pPr>
      <w:r>
        <w:rPr/>
        <w:t xml:space="preserve">      </w:t>
      </w:r>
      <w:r>
        <w:rPr/>
        <w:t>be at the expense of the Company.</w:t>
      </w:r>
    </w:p>
    <w:p>
      <w:pPr>
        <w:pStyle w:val="Normal"/>
        <w:suppressAutoHyphens w:val="true"/>
        <w:rPr/>
      </w:pPr>
      <w:r>
        <w:rPr/>
      </w:r>
    </w:p>
    <w:p>
      <w:pPr>
        <w:pStyle w:val="Header"/>
        <w:numPr>
          <w:ilvl w:val="0"/>
          <w:numId w:val="3"/>
        </w:numPr>
        <w:tabs>
          <w:tab w:val="clear" w:pos="4320"/>
          <w:tab w:val="clear" w:pos="8640"/>
        </w:tabs>
        <w:suppressAutoHyphens w:val="true"/>
        <w:rPr/>
      </w:pPr>
      <w:r>
        <w:rPr/>
        <w:t xml:space="preserve">Enron reserves the right to change any and/or all applications without the consent of the </w:t>
      </w:r>
    </w:p>
    <w:p>
      <w:pPr>
        <w:pStyle w:val="Normal"/>
        <w:suppressAutoHyphens w:val="true"/>
        <w:rPr/>
      </w:pPr>
      <w:r>
        <w:rPr/>
        <w:t xml:space="preserve">      </w:t>
      </w:r>
      <w:r>
        <w:rPr/>
        <w:t xml:space="preserve">Company provided the functions provided herein continue to be provided and Enron provides </w:t>
      </w:r>
    </w:p>
    <w:p>
      <w:pPr>
        <w:pStyle w:val="Normal"/>
        <w:suppressAutoHyphens w:val="true"/>
        <w:rPr/>
      </w:pPr>
      <w:r>
        <w:rPr/>
        <w:t xml:space="preserve">      </w:t>
      </w:r>
      <w:r>
        <w:rPr/>
        <w:t>at its cost the requisite retraining of Company personnel.</w:t>
      </w:r>
    </w:p>
    <w:sectPr>
      <w:footnotePr>
        <w:numFmt w:val="decimal"/>
      </w:footnotePr>
      <w:type w:val="continuous"/>
      <w:pgSz w:w="12240" w:h="15840"/>
      <w:pgMar w:left="1800" w:right="1800" w:gutter="0" w:header="720" w:top="1440" w:footer="720" w:bottom="1440"/>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charset w:val="00" w:characterSet="windows-1252"/>
    <w:family w:val="roman"/>
    <w:pitch w:val="variable"/>
  </w:font>
  <w:font w:name="Courier New">
    <w:charset w:val="00" w:characterSet="windows-1252"/>
    <w:family w:val="modern"/>
    <w:pitch w:val="default"/>
  </w:font>
  <w:font w:name="Wingdings">
    <w:charset w:val="02"/>
    <w:family w:val="auto"/>
    <w:pitch w:val="variable"/>
  </w:font>
  <w:font w:name="Garamond">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2"/>
      </w:rPr>
    </w:pPr>
    <w:r>
      <w:rPr>
        <w:sz w:val="12"/>
      </w:rPr>
      <w:t>Legal/Bgray/HPL IT Servuce Agreement</w:t>
    </w:r>
  </w:p>
  <w:p>
    <w:pPr>
      <w:pStyle w:val="Footer"/>
      <w:jc w:val="center"/>
      <w:rPr>
        <w:sz w:val="12"/>
      </w:rPr>
    </w:pPr>
    <w:r>
      <w:rPr>
        <w:sz w:val="12"/>
      </w:rPr>
    </w:r>
  </w:p>
  <w:p>
    <w:pPr>
      <w:pStyle w:val="Footer"/>
      <w:jc w:val="center"/>
      <w:rPr>
        <w:sz w:val="20"/>
      </w:rPr>
    </w:pPr>
    <w:r>
      <w:rPr>
        <w:sz w:val="20"/>
      </w:rPr>
      <w:t>-</w:t>
    </w: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sz w:val="20"/>
      </w:rPr>
      <w:t>8</w:t>
    </w:r>
    <w:r>
      <w:rPr>
        <w:rStyle w:val="PageNumber"/>
        <w:sz w:val="20"/>
      </w:rPr>
      <w:fldChar w:fldCharType="end"/>
    </w:r>
    <w:r>
      <w:rPr>
        <w:rStyle w:val="PageNumber"/>
        <w:sz w:val="20"/>
      </w:rPr>
      <w:t>-</w:t>
    </w:r>
  </w:p>
  <w:p>
    <w:pPr>
      <w:pStyle w:val="Footer"/>
      <w:rPr>
        <w:sz w:val="12"/>
      </w:rPr>
    </w:pPr>
    <w:r>
      <w:rPr>
        <w:sz w:val="12"/>
      </w:rPr>
    </w:r>
  </w:p>
  <w:p>
    <w:pPr>
      <w:pStyle w:val="Footer"/>
      <w:rPr>
        <w:sz w:val="12"/>
        <w:effect w:val="blinkBackground"/>
      </w:rPr>
    </w:pPr>
    <w:r>
      <w:rPr>
        <w:sz w:val="12"/>
        <w:effect w:val="blinkBackground"/>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2"/>
      </w:rPr>
    </w:pPr>
    <w:r>
      <w:rPr>
        <w:sz w:val="12"/>
      </w:rPr>
    </w:r>
  </w:p>
  <w:p>
    <w:pPr>
      <w:pStyle w:val="Footer"/>
      <w:rPr>
        <w:sz w:val="12"/>
      </w:rPr>
    </w:pPr>
    <w:r>
      <w:rPr>
        <w:sz w:val="12"/>
      </w:rPr>
      <w:t>Legal/Bgray/HPL IT Servuce Agreement</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sz w:val="12"/>
      </w:rPr>
    </w:pPr>
    <w:r>
      <w:rPr>
        <w:sz w:val="12"/>
      </w:rPr>
    </w:r>
  </w:p>
  <w:p>
    <w:pPr>
      <w:pStyle w:val="Footer"/>
      <w:jc w:val="center"/>
      <w:rPr>
        <w:sz w:val="12"/>
      </w:rPr>
    </w:pPr>
    <w:r>
      <w:rPr>
        <w:sz w:val="12"/>
      </w:rPr>
    </w:r>
  </w:p>
  <w:p>
    <w:pPr>
      <w:pStyle w:val="Footer"/>
      <w:jc w:val="center"/>
      <w:rPr>
        <w:sz w:val="20"/>
      </w:rPr>
    </w:pPr>
    <w:r>
      <w:rPr>
        <w:sz w:val="20"/>
      </w:rPr>
    </w:r>
  </w:p>
  <w:p>
    <w:pPr>
      <w:pStyle w:val="Footer"/>
      <w:rPr>
        <w:sz w:val="12"/>
      </w:rPr>
    </w:pPr>
    <w:r>
      <w:rPr>
        <w:sz w:val="12"/>
      </w:rPr>
    </w:r>
  </w:p>
  <w:p>
    <w:pPr>
      <w:pStyle w:val="Footer"/>
      <w:rPr>
        <w:sz w:val="12"/>
      </w:rPr>
    </w:pPr>
    <w:r>
      <w:rPr>
        <w:sz w:val="12"/>
      </w:rPr>
      <w:t>Legal/Bgray/HPL IT Servuce Agreement</w:t>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p>
    <w:pPr>
      <w:pStyle w:val="Footer"/>
      <w:rPr>
        <w:sz w:val="12"/>
      </w:rPr>
    </w:pPr>
    <w:r>
      <w:rPr>
        <w:sz w:val="12"/>
      </w:rPr>
      <w:t>Legal/Bgray/HPL IT Servuce Agreement</w:t>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rPr/>
      </w:pPr>
      <w:r>
        <w:rPr>
          <w:rStyle w:val="FootnoteCharacters"/>
        </w:rPr>
        <w:footnoteRef/>
      </w:r>
      <w:r>
        <w:rPr/>
        <w:t xml:space="preserve"> </w:t>
      </w:r>
      <w:r>
        <w:rPr/>
        <w:t>Not included in service fee – will be priced separately.</w:t>
      </w:r>
    </w:p>
    <w:p>
      <w:pPr>
        <w:pStyle w:val="FootnoteText"/>
        <w:rPr/>
      </w:pPr>
      <w:r>
        <w:rPr/>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b/>
      </w:rPr>
    </w:pPr>
    <w:r>
      <w:rPr>
        <w:b/>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b/>
      </w:rPr>
    </w:pPr>
    <w:r>
      <w:rPr>
        <w:b/>
      </w:rPr>
    </w:r>
  </w:p>
  <w:p>
    <w:pPr>
      <w:pStyle w:val="Header"/>
      <w:rPr>
        <w:b/>
      </w:rPr>
    </w:pPr>
    <w:r>
      <w:rPr>
        <w:b/>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b/>
      </w:rPr>
    </w:pPr>
    <w:r>
      <w:rPr>
        <w:b/>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b/>
      </w:rPr>
    </w:pPr>
    <w:r>
      <w:rPr>
        <w:b/>
      </w:rPr>
    </w:r>
  </w:p>
  <w:p>
    <w:pPr>
      <w:pStyle w:val="Header"/>
      <w:rPr>
        <w:b/>
      </w:rPr>
    </w:pPr>
    <w:r>
      <w:rPr>
        <w:b/>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60"/>
        </w:tabs>
        <w:ind w:start="0" w:hanging="0"/>
      </w:pPr>
      <w:rPr>
        <w:rFonts w:ascii="Wingdings" w:hAnsi="Wingdings" w:cs="Wingdings" w:hint="default"/>
      </w:rPr>
    </w:lvl>
  </w:abstractNum>
  <w:abstractNum w:abstractNumId="3">
    <w:lvl w:ilvl="0">
      <w:start w:val="1"/>
      <w:numFmt w:val="bullet"/>
      <w:lvlText w:val=""/>
      <w:lvlJc w:val="start"/>
      <w:pPr>
        <w:tabs>
          <w:tab w:val="num" w:pos="360"/>
        </w:tabs>
        <w:ind w:start="0" w:hanging="0"/>
      </w:pPr>
      <w:rPr>
        <w:rFonts w:ascii="Symbol" w:hAnsi="Symbol" w:cs="Symbol" w:hint="default"/>
        <w:color w:val="000000"/>
      </w:rPr>
    </w:lvl>
  </w:abstractNum>
  <w:abstractNum w:abstractNumId="4">
    <w:lvl w:ilvl="0">
      <w:start w:val="1"/>
      <w:numFmt w:val="bullet"/>
      <w:lvlText w:val=""/>
      <w:lvlJc w:val="start"/>
      <w:pPr>
        <w:tabs>
          <w:tab w:val="num" w:pos="360"/>
        </w:tabs>
        <w:ind w:start="0" w:hanging="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defaultTabStop w:val="720"/>
  <w:autoHyphenation w:val="true"/>
  <w:hyphenationZone w:val="0"/>
  <w:footnotePr>
    <w:numFmt w:val="decimal"/>
    <w:footnote w:id="0"/>
    <w:footnote w:id="1"/>
  </w:footnotePr>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2"/>
      <w:szCs w:val="20"/>
      <w:lang w:val="en-US" w:bidi="ar-SA" w:eastAsia="zh-CN"/>
    </w:rPr>
  </w:style>
  <w:style w:type="paragraph" w:styleId="Heading1">
    <w:name w:val="heading 1"/>
    <w:basedOn w:val="Normal"/>
    <w:next w:val="Normal"/>
    <w:qFormat/>
    <w:pPr>
      <w:keepNext w:val="true"/>
      <w:keepLines/>
      <w:numPr>
        <w:ilvl w:val="0"/>
        <w:numId w:val="1"/>
      </w:numPr>
      <w:tabs>
        <w:tab w:val="clear" w:pos="720"/>
        <w:tab w:val="left" w:pos="-720" w:leader="none"/>
      </w:tabs>
      <w:suppressAutoHyphens w:val="true"/>
      <w:jc w:val="both"/>
      <w:outlineLvl w:val="0"/>
    </w:pPr>
    <w:rPr>
      <w:b/>
      <w:spacing w:val="-2"/>
      <w:sz w:val="24"/>
    </w:rPr>
  </w:style>
  <w:style w:type="paragraph" w:styleId="Heading2">
    <w:name w:val="heading 2"/>
    <w:basedOn w:val="Normal"/>
    <w:next w:val="Normal"/>
    <w:qFormat/>
    <w:pPr>
      <w:keepNext w:val="true"/>
      <w:numPr>
        <w:ilvl w:val="1"/>
        <w:numId w:val="1"/>
      </w:numPr>
      <w:outlineLvl w:val="1"/>
    </w:pPr>
    <w:rPr>
      <w:b/>
      <w:sz w:val="24"/>
    </w:rPr>
  </w:style>
  <w:style w:type="paragraph" w:styleId="Heading3">
    <w:name w:val="heading 3"/>
    <w:basedOn w:val="Normal"/>
    <w:next w:val="Normal"/>
    <w:qFormat/>
    <w:pPr>
      <w:keepNext w:val="true"/>
      <w:numPr>
        <w:ilvl w:val="2"/>
        <w:numId w:val="1"/>
      </w:numPr>
      <w:tabs>
        <w:tab w:val="clear" w:pos="720"/>
        <w:tab w:val="left" w:pos="-720" w:leader="none"/>
      </w:tabs>
      <w:suppressAutoHyphens w:val="true"/>
      <w:jc w:val="both"/>
      <w:outlineLvl w:val="2"/>
    </w:pPr>
    <w:rPr>
      <w:rFonts w:ascii="CG Times" w:hAnsi="CG Times" w:cs="CG Times"/>
      <w:b/>
      <w:sz w:val="23"/>
    </w:rPr>
  </w:style>
  <w:style w:type="character" w:styleId="WW8Num1z0">
    <w:name w:val="WW8Num1z0"/>
    <w:qFormat/>
    <w:rPr>
      <w:rFonts w:ascii="Symbol" w:hAnsi="Symbol" w:cs="Symbol"/>
      <w:color w:val="auto"/>
      <w:sz w:val="12"/>
    </w:rPr>
  </w:style>
  <w:style w:type="character" w:styleId="WW8Num2z0">
    <w:name w:val="WW8Num2z0"/>
    <w:qFormat/>
    <w:rPr>
      <w:rFonts w:ascii="Symbol" w:hAnsi="Symbol" w:cs="Symbol"/>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3z0">
    <w:name w:val="WW8Num3z0"/>
    <w:qFormat/>
    <w:rPr>
      <w:rFonts w:ascii="Symbol" w:hAnsi="Symbol" w:cs="Symbol"/>
      <w:color w:val="auto"/>
      <w:sz w:val="12"/>
    </w:rPr>
  </w:style>
  <w:style w:type="character" w:styleId="WW8Num4z0">
    <w:name w:val="WW8Num4z0"/>
    <w:qFormat/>
    <w:rPr>
      <w:rFonts w:ascii="Wingdings" w:hAnsi="Wingdings" w:cs="Wingdings"/>
    </w:rPr>
  </w:style>
  <w:style w:type="character" w:styleId="WW8Num4z1">
    <w:name w:val="WW8Num4z1"/>
    <w:qFormat/>
    <w:rPr>
      <w:rFonts w:ascii="Courier New" w:hAnsi="Courier New" w:cs="Courier New"/>
    </w:rPr>
  </w:style>
  <w:style w:type="character" w:styleId="WW8Num4z3">
    <w:name w:val="WW8Num4z3"/>
    <w:qFormat/>
    <w:rPr>
      <w:rFonts w:ascii="Symbol" w:hAnsi="Symbol" w:cs="Symbol"/>
    </w:rPr>
  </w:style>
  <w:style w:type="character" w:styleId="WW8Num5z0">
    <w:name w:val="WW8Num5z0"/>
    <w:qFormat/>
    <w:rPr>
      <w:i/>
    </w:rPr>
  </w:style>
  <w:style w:type="character" w:styleId="WW8Num6z0">
    <w:name w:val="WW8Num6z0"/>
    <w:qFormat/>
    <w:rPr>
      <w:i/>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9z0">
    <w:name w:val="WW8Num9z0"/>
    <w:qFormat/>
    <w:rPr>
      <w:rFonts w:ascii="Symbol" w:hAnsi="Symbol" w:cs="Symbol"/>
    </w:rPr>
  </w:style>
  <w:style w:type="character" w:styleId="WW8Num10z0">
    <w:name w:val="WW8Num10z0"/>
    <w:qFormat/>
    <w:rPr>
      <w:rFonts w:ascii="Symbol" w:hAnsi="Symbol" w:cs="Symbol"/>
    </w:rPr>
  </w:style>
  <w:style w:type="character" w:styleId="WW8Num11z0">
    <w:name w:val="WW8Num11z0"/>
    <w:qFormat/>
    <w:rPr>
      <w:rFonts w:ascii="Symbol" w:hAnsi="Symbol" w:cs="Symbol"/>
      <w:color w:val="auto"/>
      <w:sz w:val="12"/>
    </w:rPr>
  </w:style>
  <w:style w:type="character" w:styleId="WW8Num12z0">
    <w:name w:val="WW8Num12z0"/>
    <w:qFormat/>
    <w:rPr>
      <w:rFonts w:ascii="Symbol" w:hAnsi="Symbol" w:cs="Symbol"/>
    </w:rPr>
  </w:style>
  <w:style w:type="character" w:styleId="WW8Num13z0">
    <w:name w:val="WW8Num13z0"/>
    <w:qFormat/>
    <w:rPr>
      <w:b w:val="false"/>
      <w:u w:val="none"/>
    </w:rPr>
  </w:style>
  <w:style w:type="character" w:styleId="WW8Num14z0">
    <w:name w:val="WW8Num14z0"/>
    <w:qFormat/>
    <w:rPr>
      <w:rFonts w:ascii="Symbol" w:hAnsi="Symbol" w:cs="Symbol"/>
    </w:rPr>
  </w:style>
  <w:style w:type="character" w:styleId="WW8Num15z0">
    <w:name w:val="WW8Num15z0"/>
    <w:qFormat/>
    <w:rPr>
      <w:rFonts w:ascii="Symbol" w:hAnsi="Symbol" w:cs="Symbol"/>
    </w:rPr>
  </w:style>
  <w:style w:type="character" w:styleId="WW8Num15z1">
    <w:name w:val="WW8Num15z1"/>
    <w:qFormat/>
    <w:rPr>
      <w:rFonts w:ascii="Courier New" w:hAnsi="Courier New" w:cs="Courier New"/>
    </w:rPr>
  </w:style>
  <w:style w:type="character" w:styleId="WW8Num15z2">
    <w:name w:val="WW8Num15z2"/>
    <w:qFormat/>
    <w:rPr>
      <w:rFonts w:ascii="Wingdings" w:hAnsi="Wingdings" w:cs="Wingdings"/>
    </w:rPr>
  </w:style>
  <w:style w:type="character" w:styleId="WW8Num16z0">
    <w:name w:val="WW8Num16z0"/>
    <w:qFormat/>
    <w:rPr>
      <w:rFonts w:ascii="Symbol" w:hAnsi="Symbol" w:cs="Symbol"/>
    </w:rPr>
  </w:style>
  <w:style w:type="character" w:styleId="WW8Num16z1">
    <w:name w:val="WW8Num16z1"/>
    <w:qFormat/>
    <w:rPr>
      <w:rFonts w:ascii="Courier New" w:hAnsi="Courier New" w:cs="Courier New"/>
    </w:rPr>
  </w:style>
  <w:style w:type="character" w:styleId="WW8Num16z2">
    <w:name w:val="WW8Num16z2"/>
    <w:qFormat/>
    <w:rPr>
      <w:rFonts w:ascii="Wingdings" w:hAnsi="Wingdings" w:cs="Wingdings"/>
    </w:rPr>
  </w:style>
  <w:style w:type="character" w:styleId="WW8Num17z0">
    <w:name w:val="WW8Num17z0"/>
    <w:qFormat/>
    <w:rPr>
      <w:rFonts w:ascii="Symbol" w:hAnsi="Symbol" w:cs="Symbol"/>
    </w:rPr>
  </w:style>
  <w:style w:type="character" w:styleId="WW8Num17z1">
    <w:name w:val="WW8Num17z1"/>
    <w:qFormat/>
    <w:rPr>
      <w:rFonts w:ascii="Courier New" w:hAnsi="Courier New" w:cs="Courier New"/>
    </w:rPr>
  </w:style>
  <w:style w:type="character" w:styleId="WW8Num17z2">
    <w:name w:val="WW8Num17z2"/>
    <w:qFormat/>
    <w:rPr>
      <w:rFonts w:ascii="Wingdings" w:hAnsi="Wingdings" w:cs="Wingdings"/>
    </w:rPr>
  </w:style>
  <w:style w:type="character" w:styleId="WW8Num18z0">
    <w:name w:val="WW8Num18z0"/>
    <w:qFormat/>
    <w:rPr>
      <w:rFonts w:ascii="Symbol" w:hAnsi="Symbol" w:cs="Symbol"/>
    </w:rPr>
  </w:style>
  <w:style w:type="character" w:styleId="WW8Num19z0">
    <w:name w:val="WW8Num19z0"/>
    <w:qFormat/>
    <w:rPr>
      <w:rFonts w:ascii="Symbol" w:hAnsi="Symbol" w:cs="Symbol"/>
    </w:rPr>
  </w:style>
  <w:style w:type="character" w:styleId="WW8Num20z0">
    <w:name w:val="WW8Num20z0"/>
    <w:qFormat/>
    <w:rPr>
      <w:rFonts w:ascii="Symbol" w:hAnsi="Symbol" w:cs="Symbol"/>
    </w:rPr>
  </w:style>
  <w:style w:type="character" w:styleId="WW8Num21z0">
    <w:name w:val="WW8Num21z0"/>
    <w:qFormat/>
    <w:rPr>
      <w:rFonts w:ascii="Symbol" w:hAnsi="Symbol" w:cs="Symbol"/>
      <w:color w:val="auto"/>
      <w:sz w:val="12"/>
    </w:rPr>
  </w:style>
  <w:style w:type="character" w:styleId="WW8Num22z0">
    <w:name w:val="WW8Num22z0"/>
    <w:qFormat/>
    <w:rPr>
      <w:rFonts w:ascii="Wingdings" w:hAnsi="Wingdings" w:cs="Wingdings"/>
    </w:rPr>
  </w:style>
  <w:style w:type="character" w:styleId="WW8Num22z1">
    <w:name w:val="WW8Num22z1"/>
    <w:qFormat/>
    <w:rPr>
      <w:rFonts w:ascii="Symbol" w:hAnsi="Symbol" w:cs="Symbol"/>
      <w:color w:val="000000"/>
    </w:rPr>
  </w:style>
  <w:style w:type="character" w:styleId="WW8Num22z3">
    <w:name w:val="WW8Num22z3"/>
    <w:qFormat/>
    <w:rPr>
      <w:rFonts w:ascii="Symbol" w:hAnsi="Symbol" w:cs="Symbol"/>
    </w:rPr>
  </w:style>
  <w:style w:type="character" w:styleId="WW8Num22z4">
    <w:name w:val="WW8Num22z4"/>
    <w:qFormat/>
    <w:rPr>
      <w:rFonts w:ascii="Courier New" w:hAnsi="Courier New" w:cs="Courier New"/>
    </w:rPr>
  </w:style>
  <w:style w:type="character" w:styleId="WW8Num23z0">
    <w:name w:val="WW8Num23z0"/>
    <w:qFormat/>
    <w:rPr>
      <w:rFonts w:ascii="Wingdings" w:hAnsi="Wingdings" w:cs="Wingdings"/>
    </w:rPr>
  </w:style>
  <w:style w:type="character" w:styleId="WW8Num23z1">
    <w:name w:val="WW8Num23z1"/>
    <w:qFormat/>
    <w:rPr>
      <w:rFonts w:ascii="Courier New" w:hAnsi="Courier New" w:cs="Courier New"/>
    </w:rPr>
  </w:style>
  <w:style w:type="character" w:styleId="WW8Num23z3">
    <w:name w:val="WW8Num23z3"/>
    <w:qFormat/>
    <w:rPr>
      <w:rFonts w:ascii="Symbol" w:hAnsi="Symbol" w:cs="Symbol"/>
    </w:rPr>
  </w:style>
  <w:style w:type="character" w:styleId="WW8Num24z0">
    <w:name w:val="WW8Num24z0"/>
    <w:qFormat/>
    <w:rPr>
      <w:rFonts w:ascii="Symbol" w:hAnsi="Symbol" w:cs="Symbol"/>
      <w:color w:val="auto"/>
      <w:sz w:val="12"/>
    </w:rPr>
  </w:style>
  <w:style w:type="character" w:styleId="WW8Num25z0">
    <w:name w:val="WW8Num25z0"/>
    <w:qFormat/>
    <w:rPr>
      <w:rFonts w:ascii="Symbol" w:hAnsi="Symbol" w:cs="Symbol"/>
      <w:color w:val="000000"/>
    </w:rPr>
  </w:style>
  <w:style w:type="character" w:styleId="WW8Num25z1">
    <w:name w:val="WW8Num25z1"/>
    <w:qFormat/>
    <w:rPr>
      <w:rFonts w:ascii="Courier New" w:hAnsi="Courier New" w:cs="Courier New"/>
    </w:rPr>
  </w:style>
  <w:style w:type="character" w:styleId="WW8Num25z2">
    <w:name w:val="WW8Num25z2"/>
    <w:qFormat/>
    <w:rPr>
      <w:rFonts w:ascii="Wingdings" w:hAnsi="Wingdings" w:cs="Wingdings"/>
    </w:rPr>
  </w:style>
  <w:style w:type="character" w:styleId="WW8Num25z3">
    <w:name w:val="WW8Num25z3"/>
    <w:qFormat/>
    <w:rPr>
      <w:rFonts w:ascii="Symbol" w:hAnsi="Symbol" w:cs="Symbol"/>
    </w:rPr>
  </w:style>
  <w:style w:type="character" w:styleId="WW8Num26z0">
    <w:name w:val="WW8Num26z0"/>
    <w:qFormat/>
    <w:rPr>
      <w:rFonts w:ascii="Symbol" w:hAnsi="Symbol" w:cs="Symbol"/>
    </w:rPr>
  </w:style>
  <w:style w:type="character" w:styleId="WW8Num27z0">
    <w:name w:val="WW8Num27z0"/>
    <w:qFormat/>
    <w:rPr>
      <w:rFonts w:ascii="Symbol" w:hAnsi="Symbol" w:cs="Symbol"/>
    </w:rPr>
  </w:style>
  <w:style w:type="character" w:styleId="WW8Num28z0">
    <w:name w:val="WW8Num28z0"/>
    <w:qFormat/>
    <w:rPr>
      <w:rFonts w:ascii="Symbol" w:hAnsi="Symbol" w:cs="Symbol"/>
    </w:rPr>
  </w:style>
  <w:style w:type="character" w:styleId="WW8Num29z0">
    <w:name w:val="WW8Num29z0"/>
    <w:qFormat/>
    <w:rPr>
      <w:rFonts w:ascii="Symbol" w:hAnsi="Symbol" w:cs="Symbol"/>
    </w:rPr>
  </w:style>
  <w:style w:type="character" w:styleId="WW8Num29z1">
    <w:name w:val="WW8Num29z1"/>
    <w:qFormat/>
    <w:rPr>
      <w:rFonts w:ascii="Courier New" w:hAnsi="Courier New" w:cs="Courier New"/>
    </w:rPr>
  </w:style>
  <w:style w:type="character" w:styleId="WW8Num29z2">
    <w:name w:val="WW8Num29z2"/>
    <w:qFormat/>
    <w:rPr>
      <w:rFonts w:ascii="Wingdings" w:hAnsi="Wingdings" w:cs="Wingdings"/>
    </w:rPr>
  </w:style>
  <w:style w:type="character" w:styleId="WW8Num30z0">
    <w:name w:val="WW8Num30z0"/>
    <w:qFormat/>
    <w:rPr>
      <w:rFonts w:ascii="Symbol" w:hAnsi="Symbol" w:cs="Symbol"/>
    </w:rPr>
  </w:style>
  <w:style w:type="character" w:styleId="WW8Num31z0">
    <w:name w:val="WW8Num31z0"/>
    <w:qFormat/>
    <w:rPr>
      <w:rFonts w:ascii="Wingdings" w:hAnsi="Wingdings" w:cs="Wingdings"/>
    </w:rPr>
  </w:style>
  <w:style w:type="character" w:styleId="WW8Num31z1">
    <w:name w:val="WW8Num31z1"/>
    <w:qFormat/>
    <w:rPr>
      <w:rFonts w:ascii="Courier New" w:hAnsi="Courier New" w:cs="Courier New"/>
    </w:rPr>
  </w:style>
  <w:style w:type="character" w:styleId="WW8Num31z3">
    <w:name w:val="WW8Num31z3"/>
    <w:qFormat/>
    <w:rPr>
      <w:rFonts w:ascii="Symbol" w:hAnsi="Symbol" w:cs="Symbol"/>
    </w:rPr>
  </w:style>
  <w:style w:type="character" w:styleId="WW8Num32z0">
    <w:name w:val="WW8Num32z0"/>
    <w:qFormat/>
    <w:rPr>
      <w:rFonts w:ascii="Symbol" w:hAnsi="Symbol" w:cs="Symbol"/>
      <w:color w:val="auto"/>
      <w:sz w:val="12"/>
    </w:rPr>
  </w:style>
  <w:style w:type="character" w:styleId="WW8Num33z0">
    <w:name w:val="WW8Num33z0"/>
    <w:qFormat/>
    <w:rPr>
      <w:i/>
    </w:rPr>
  </w:style>
  <w:style w:type="character" w:styleId="WW8Num34z0">
    <w:name w:val="WW8Num34z0"/>
    <w:qFormat/>
    <w:rPr/>
  </w:style>
  <w:style w:type="character" w:styleId="WW8Num35z0">
    <w:name w:val="WW8Num35z0"/>
    <w:qFormat/>
    <w:rPr>
      <w:rFonts w:ascii="Symbol" w:hAnsi="Symbol" w:cs="Symbol"/>
    </w:rPr>
  </w:style>
  <w:style w:type="character" w:styleId="WW8Num36z0">
    <w:name w:val="WW8Num36z0"/>
    <w:qFormat/>
    <w:rPr>
      <w:rFonts w:ascii="Symbol" w:hAnsi="Symbol" w:cs="Symbol"/>
    </w:rPr>
  </w:style>
  <w:style w:type="character" w:styleId="WW8Num37z0">
    <w:name w:val="WW8Num37z0"/>
    <w:qFormat/>
    <w:rPr>
      <w:rFonts w:ascii="Symbol" w:hAnsi="Symbol" w:cs="Symbol"/>
    </w:rPr>
  </w:style>
  <w:style w:type="character" w:styleId="WW8Num38z0">
    <w:name w:val="WW8Num38z0"/>
    <w:qFormat/>
    <w:rPr>
      <w:rFonts w:ascii="Symbol" w:hAnsi="Symbol" w:cs="Symbol"/>
    </w:rPr>
  </w:style>
  <w:style w:type="character" w:styleId="WW8Num39z0">
    <w:name w:val="WW8Num39z0"/>
    <w:qFormat/>
    <w:rPr>
      <w:rFonts w:ascii="Wingdings" w:hAnsi="Wingdings" w:cs="Wingdings"/>
    </w:rPr>
  </w:style>
  <w:style w:type="character" w:styleId="WW8Num39z1">
    <w:name w:val="WW8Num39z1"/>
    <w:qFormat/>
    <w:rPr>
      <w:rFonts w:ascii="Courier New" w:hAnsi="Courier New" w:cs="Courier New"/>
    </w:rPr>
  </w:style>
  <w:style w:type="character" w:styleId="WW8Num39z3">
    <w:name w:val="WW8Num39z3"/>
    <w:qFormat/>
    <w:rPr>
      <w:rFonts w:ascii="Symbol" w:hAnsi="Symbol" w:cs="Symbol"/>
    </w:rPr>
  </w:style>
  <w:style w:type="character" w:styleId="DefaultParagraphFont">
    <w:name w:val="Default Paragraph Font"/>
    <w:qFormat/>
    <w:rPr/>
  </w:style>
  <w:style w:type="character" w:styleId="PageNumber">
    <w:name w:val="page number"/>
    <w:basedOn w:val="DefaultParagraphFont"/>
    <w:rPr/>
  </w:style>
  <w:style w:type="character" w:styleId="PathID">
    <w:name w:val="PathID"/>
    <w:basedOn w:val="DefaultParagraphFont"/>
    <w:qFormat/>
    <w:rPr>
      <w:rFonts w:ascii="Times New Roman" w:hAnsi="Times New Roman" w:cs="Times New Roman"/>
      <w:sz w:val="12"/>
    </w:rPr>
  </w:style>
  <w:style w:type="character" w:styleId="FootnoteCharacters">
    <w:name w:val="Footnote Characters"/>
    <w:basedOn w:val="DefaultParagraphFont"/>
    <w:qFormat/>
    <w:rPr>
      <w:vertAlign w:val="superscript"/>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EndnoteCharacters">
    <w:name w:val="Endnote Characters"/>
    <w:qFormat/>
    <w:rPr/>
  </w:style>
  <w:style w:type="paragraph" w:styleId="Heading">
    <w:name w:val="Heading"/>
    <w:basedOn w:val="Normal"/>
    <w:next w:val="BodyText"/>
    <w:qFormat/>
    <w:pPr>
      <w:tabs>
        <w:tab w:val="clear" w:pos="720"/>
        <w:tab w:val="center" w:pos="4680" w:leader="none"/>
      </w:tabs>
      <w:suppressAutoHyphens w:val="true"/>
      <w:jc w:val="center"/>
    </w:pPr>
    <w:rPr>
      <w:b/>
      <w:spacing w:val="-2"/>
      <w:sz w:val="24"/>
    </w:rPr>
  </w:style>
  <w:style w:type="paragraph" w:styleId="BodyText">
    <w:name w:val="Body Text"/>
    <w:basedOn w:val="Normal"/>
    <w:pPr>
      <w:tabs>
        <w:tab w:val="clear" w:pos="720"/>
        <w:tab w:val="left" w:pos="-720" w:leader="none"/>
      </w:tabs>
      <w:suppressAutoHyphens w:val="true"/>
      <w:jc w:val="both"/>
    </w:pPr>
    <w:rPr>
      <w:spacing w:val="-2"/>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z w:val="24"/>
    </w:rPr>
  </w:style>
  <w:style w:type="paragraph" w:styleId="BodyTextIndent3">
    <w:name w:val="Body Text Indent 3"/>
    <w:basedOn w:val="Normal"/>
    <w:qFormat/>
    <w:pPr>
      <w:tabs>
        <w:tab w:val="clear" w:pos="720"/>
        <w:tab w:val="left" w:pos="-720" w:leader="none"/>
      </w:tabs>
      <w:suppressAutoHyphens w:val="true"/>
      <w:ind w:hanging="0" w:start="2160" w:end="0"/>
      <w:jc w:val="both"/>
    </w:pPr>
    <w:rPr>
      <w:spacing w:val="-2"/>
      <w:sz w:val="24"/>
    </w:rPr>
  </w:style>
  <w:style w:type="paragraph" w:styleId="LetterhdFont">
    <w:name w:val="LetterhdFont"/>
    <w:basedOn w:val="Normal"/>
    <w:next w:val="Normal"/>
    <w:qFormat/>
    <w:pPr>
      <w:jc w:val="end"/>
    </w:pPr>
    <w:rPr>
      <w:rFonts w:ascii="Garamond" w:hAnsi="Garamond" w:cs="Garamond"/>
      <w:sz w:val="18"/>
    </w:rPr>
  </w:style>
  <w:style w:type="paragraph" w:styleId="LetterHeadAtt">
    <w:name w:val="LetterHeadAtt"/>
    <w:basedOn w:val="Header"/>
    <w:next w:val="Normal"/>
    <w:qFormat/>
    <w:pPr>
      <w:tabs>
        <w:tab w:val="clear" w:pos="4320"/>
        <w:tab w:val="clear" w:pos="8640"/>
      </w:tabs>
      <w:jc w:val="center"/>
    </w:pPr>
    <w:rPr>
      <w:rFonts w:ascii="Garamond" w:hAnsi="Garamond" w:cs="Garamond"/>
      <w:smallCaps/>
      <w:sz w:val="18"/>
    </w:rPr>
  </w:style>
  <w:style w:type="paragraph" w:styleId="LetterHeaderAddress">
    <w:name w:val="LetterHeaderAddress"/>
    <w:basedOn w:val="Header"/>
    <w:next w:val="Normal"/>
    <w:qFormat/>
    <w:pPr>
      <w:tabs>
        <w:tab w:val="clear" w:pos="4320"/>
        <w:tab w:val="clear" w:pos="8640"/>
      </w:tabs>
    </w:pPr>
    <w:rPr>
      <w:rFonts w:ascii="Garamond" w:hAnsi="Garamond" w:cs="Garamond"/>
      <w:smallCaps/>
      <w:sz w:val="18"/>
    </w:rPr>
  </w:style>
  <w:style w:type="paragraph" w:styleId="LetterHeaderEmail">
    <w:name w:val="LetterHeaderEmail"/>
    <w:basedOn w:val="LetterHeaderAddress"/>
    <w:next w:val="Normal"/>
    <w:qFormat/>
    <w:pPr>
      <w:jc w:val="end"/>
    </w:pPr>
    <w:rPr>
      <w:caps w:val="false"/>
      <w:smallCaps w:val="false"/>
    </w:rPr>
  </w:style>
  <w:style w:type="paragraph" w:styleId="LetterHeadPhone">
    <w:name w:val="LetterHeadPhone"/>
    <w:basedOn w:val="LetterHeaderAddress"/>
    <w:next w:val="Normal"/>
    <w:qFormat/>
    <w:pPr>
      <w:jc w:val="end"/>
    </w:pPr>
    <w:rPr>
      <w:caps w:val="false"/>
      <w:smallCaps w:val="false"/>
    </w:rPr>
  </w:style>
  <w:style w:type="paragraph" w:styleId="LetterHeadName">
    <w:name w:val="LetterHeadName"/>
    <w:basedOn w:val="LetterHeaderAddress"/>
    <w:next w:val="Normal"/>
    <w:qFormat/>
    <w:pPr>
      <w:jc w:val="center"/>
    </w:pPr>
    <w:rPr>
      <w:spacing w:val="12"/>
      <w:sz w:val="46"/>
    </w:rPr>
  </w:style>
  <w:style w:type="paragraph" w:styleId="LetterhdWeb">
    <w:name w:val="LetterhdWeb"/>
    <w:basedOn w:val="LetterHeadPhone"/>
    <w:next w:val="Normal"/>
    <w:qFormat/>
    <w:pPr/>
    <w:rPr/>
  </w:style>
  <w:style w:type="paragraph" w:styleId="FootnoteText">
    <w:name w:val="footnote text"/>
    <w:basedOn w:val="Normal"/>
    <w:pPr/>
    <w:rPr>
      <w:sz w:val="20"/>
    </w:rPr>
  </w:style>
  <w:style w:type="paragraph" w:styleId="BodyTextIndent">
    <w:name w:val="Body Text Indent"/>
    <w:basedOn w:val="Normal"/>
    <w:pPr>
      <w:tabs>
        <w:tab w:val="clear" w:pos="720"/>
        <w:tab w:val="left" w:pos="3600" w:leader="none"/>
        <w:tab w:val="left" w:pos="7920" w:leader="none"/>
      </w:tabs>
      <w:ind w:hanging="0" w:start="360" w:end="0"/>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header" Target="header3.xml"/><Relationship Id="rId7" Type="http://schemas.openxmlformats.org/officeDocument/2006/relationships/header" Target="header4.xml"/><Relationship Id="rId8" Type="http://schemas.openxmlformats.org/officeDocument/2006/relationships/footer" Target="footer3.xml"/><Relationship Id="rId9" Type="http://schemas.openxmlformats.org/officeDocument/2006/relationships/footer" Target="footer4.xml"/><Relationship Id="rId10" Type="http://schemas.openxmlformats.org/officeDocument/2006/relationships/footnotes" Target="footnotes.xml"/><Relationship Id="rId11" Type="http://schemas.openxmlformats.org/officeDocument/2006/relationships/numbering" Target="numbering.xml"/><Relationship Id="rId12" Type="http://schemas.openxmlformats.org/officeDocument/2006/relationships/fontTable" Target="fontTable.xml"/><Relationship Id="rId13" Type="http://schemas.openxmlformats.org/officeDocument/2006/relationships/settings" Target="settings.xml"/><Relationship Id="rId1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2000-09-15T15:05:00Z</dcterms:created>
  <dc:creator>scromwe</dc:creator>
  <dc:description/>
  <dc:language>en-CA</dc:language>
  <cp:lastModifiedBy>bherod</cp:lastModifiedBy>
  <cp:lastPrinted>2000-09-07T11:29:00Z</cp:lastPrinted>
  <dcterms:modified xsi:type="dcterms:W3CDTF">2000-09-15T15:05:00Z</dcterms:modified>
  <cp:revision>2</cp:revision>
  <dc:subject/>
  <dc:title>CORPORATE SERVICES AGREEMENT </dc:title>
</cp:coreProperties>
</file>