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drawing>
          <wp:anchor behindDoc="0" distT="0" distB="0" distL="114935" distR="114935" simplePos="0" locked="0" layoutInCell="0" allowOverlap="1" relativeHeight="2">
            <wp:simplePos x="0" y="0"/>
            <wp:positionH relativeFrom="column">
              <wp:posOffset>3590925</wp:posOffset>
            </wp:positionH>
            <wp:positionV relativeFrom="paragraph">
              <wp:posOffset>-390525</wp:posOffset>
            </wp:positionV>
            <wp:extent cx="1905000" cy="714375"/>
            <wp:effectExtent l="0" t="0" r="0" b="0"/>
            <wp:wrapTopAndBottom/>
            <wp:docPr id="1" name="colorhoriz"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horiz" descr="" title=""/>
                    <pic:cNvPicPr>
                      <a:picLocks noChangeAspect="1" noChangeArrowheads="1"/>
                    </pic:cNvPicPr>
                  </pic:nvPicPr>
                  <pic:blipFill>
                    <a:blip r:embed="rId2"/>
                    <a:srcRect l="-19" t="-50" r="-19" b="-50"/>
                    <a:stretch>
                      <a:fillRect/>
                    </a:stretch>
                  </pic:blipFill>
                  <pic:spPr bwMode="auto">
                    <a:xfrm>
                      <a:off x="0" y="0"/>
                      <a:ext cx="1905000" cy="714375"/>
                    </a:xfrm>
                    <a:prstGeom prst="rect">
                      <a:avLst/>
                    </a:prstGeom>
                    <a:noFill/>
                  </pic:spPr>
                </pic:pic>
              </a:graphicData>
            </a:graphic>
          </wp:anchor>
        </w:drawing>
      </w:r>
      <w:r>
        <w:rPr/>
        <w:tab/>
        <w:tab/>
        <w:tab/>
        <w:tab/>
        <w:tab/>
        <w:tab/>
      </w:r>
    </w:p>
    <w:p>
      <w:pPr>
        <w:pStyle w:val="Normal"/>
        <w:rPr/>
      </w:pPr>
      <w:r>
        <w:rPr/>
      </w:r>
    </w:p>
    <w:p>
      <w:pPr>
        <w:pStyle w:val="Normal"/>
        <w:rPr/>
      </w:pPr>
      <w:r>
        <w:rPr/>
      </w:r>
    </w:p>
    <w:p>
      <w:pPr>
        <w:pStyle w:val="Heading2"/>
        <w:ind w:hanging="0" w:start="0"/>
        <w:rPr/>
      </w:pPr>
      <w:r>
        <w:rPr/>
      </w:r>
    </w:p>
    <w:p>
      <w:pPr>
        <w:pStyle w:val="Heading2"/>
        <w:ind w:hanging="0" w:start="0"/>
        <w:rPr/>
      </w:pPr>
      <w:r>
        <w:rPr/>
        <w:t>FOR IMMEDIATE RELEASE: Jan. ____, 2001</w:t>
      </w:r>
    </w:p>
    <w:p>
      <w:pPr>
        <w:pStyle w:val="Normal"/>
        <w:rPr/>
      </w:pPr>
      <w:r>
        <w:rPr/>
      </w:r>
    </w:p>
    <w:p>
      <w:pPr>
        <w:pStyle w:val="Normal"/>
        <w:rPr/>
      </w:pPr>
      <w:r>
        <w:rPr/>
      </w:r>
    </w:p>
    <w:p>
      <w:pPr>
        <w:pStyle w:val="Heading2"/>
        <w:ind w:hanging="0" w:start="0"/>
        <w:rPr/>
      </w:pPr>
      <w:r>
        <w:rPr/>
      </w:r>
    </w:p>
    <w:p>
      <w:pPr>
        <w:pStyle w:val="Heading2"/>
        <w:ind w:hanging="0" w:start="0"/>
        <w:rPr/>
      </w:pPr>
      <w:r>
        <w:rPr/>
        <w:t>AEP TO PURCHASE HOUSTON PIPE LINE COMPANY FROM ENRON</w:t>
      </w:r>
    </w:p>
    <w:p>
      <w:pPr>
        <w:pStyle w:val="Normal"/>
        <w:rPr>
          <w:sz w:val="24"/>
        </w:rPr>
      </w:pPr>
      <w:r>
        <w:rPr>
          <w:sz w:val="24"/>
        </w:rPr>
      </w:r>
    </w:p>
    <w:p>
      <w:pPr>
        <w:pStyle w:val="Normal"/>
        <w:rPr>
          <w:sz w:val="24"/>
        </w:rPr>
      </w:pPr>
      <w:r>
        <w:rPr>
          <w:sz w:val="24"/>
        </w:rPr>
        <w:t>HOUSTON – American Electric Power (NYSE: AEP) announced today that they have executed a definitive agreement under which AEP Energy Services Gas Holding Co., a wholly owned subsidiary of AEP, will acquire the stock of Houston Pipe Line Co. (HPL) from Enron Corp.</w:t>
      </w:r>
    </w:p>
    <w:p>
      <w:pPr>
        <w:pStyle w:val="Normal"/>
        <w:rPr>
          <w:sz w:val="24"/>
        </w:rPr>
      </w:pPr>
      <w:r>
        <w:rPr>
          <w:sz w:val="24"/>
        </w:rPr>
      </w:r>
    </w:p>
    <w:p>
      <w:pPr>
        <w:pStyle w:val="Normal"/>
        <w:rPr>
          <w:sz w:val="24"/>
        </w:rPr>
      </w:pPr>
      <w:r>
        <w:rPr>
          <w:sz w:val="24"/>
        </w:rPr>
        <w:t>The transaction is expected to close in the second quarter 2001.  The completion of the acquisition is subject to, among other things, expiration of the waiting period under the Hart-Scott-Rodino Antitrust Improvements Act of 1976.  Terms of the transaction were not disclosed.</w:t>
      </w:r>
    </w:p>
    <w:p>
      <w:pPr>
        <w:pStyle w:val="Normal"/>
        <w:rPr>
          <w:sz w:val="24"/>
        </w:rPr>
      </w:pPr>
      <w:r>
        <w:rPr>
          <w:sz w:val="24"/>
        </w:rPr>
      </w:r>
    </w:p>
    <w:p>
      <w:pPr>
        <w:pStyle w:val="Normal"/>
        <w:rPr>
          <w:sz w:val="24"/>
        </w:rPr>
      </w:pPr>
      <w:r>
        <w:rPr>
          <w:sz w:val="24"/>
        </w:rPr>
        <w:t>HPL owns, or leases, and operates one of the most extensive and flexible natural gas gathering, transportation and storage operations in Texas.  HPL’s intrastate transmission system includes more than 4,400 miles of pipe with capacity of approximately 2.4 billion cubic feet per day (Bcf/d), and the operation of the Bammel Storage Facility, one of the largest storage facilities in North America with capacity of approximately 118 billion cubic feet and significant injection and withdrawal capacity.</w:t>
      </w:r>
    </w:p>
    <w:p>
      <w:pPr>
        <w:pStyle w:val="Normal"/>
        <w:rPr>
          <w:sz w:val="24"/>
        </w:rPr>
      </w:pPr>
      <w:r>
        <w:rPr>
          <w:sz w:val="24"/>
        </w:rPr>
      </w:r>
    </w:p>
    <w:p>
      <w:pPr>
        <w:pStyle w:val="Normal"/>
        <w:rPr>
          <w:sz w:val="24"/>
        </w:rPr>
      </w:pPr>
      <w:r>
        <w:rPr>
          <w:sz w:val="24"/>
        </w:rPr>
        <w:t>“</w:t>
      </w:r>
      <w:r>
        <w:rPr>
          <w:sz w:val="24"/>
        </w:rPr>
        <w:t xml:space="preserve">AEP is pleased to purchase Houston Pipe Line from Enron,” said Paul Addis, executive vice president for AEP.  “HPL will enhance AEP’s natural gas business with its multiple connections into the production areas of Texas, its numerous interconnects with intrastate and interstate pipelines, and its position in and around Houston as a premier provider of natural gas. </w:t>
      </w:r>
    </w:p>
    <w:p>
      <w:pPr>
        <w:pStyle w:val="Normal"/>
        <w:rPr>
          <w:sz w:val="24"/>
        </w:rPr>
      </w:pPr>
      <w:r>
        <w:rPr>
          <w:sz w:val="24"/>
        </w:rPr>
      </w:r>
    </w:p>
    <w:p>
      <w:pPr>
        <w:pStyle w:val="Normal"/>
        <w:rPr>
          <w:sz w:val="24"/>
        </w:rPr>
      </w:pPr>
      <w:r>
        <w:rPr>
          <w:sz w:val="24"/>
        </w:rPr>
        <w:t>“</w:t>
      </w:r>
      <w:r>
        <w:rPr>
          <w:sz w:val="24"/>
        </w:rPr>
        <w:t xml:space="preserve">The acquisition will allow AEP to extend its strategy of linking physical asset operations with trading and marketing to provide our customers flexible and tailored energy products,” Addis said.  “Adding HPL to our natural-gas asset portfolio will help us reach our goal of becoming a top-10 gas trader and marketer.”  AEP’s gas volume during the third quarter of 2000, the most recent data reported, was 4 Bcf/d, placing the company 14th in volume among wholesale gas marketers in the U.S.  </w:t>
      </w:r>
    </w:p>
    <w:p>
      <w:pPr>
        <w:pStyle w:val="Normal"/>
        <w:rPr>
          <w:sz w:val="24"/>
        </w:rPr>
      </w:pPr>
      <w:r>
        <w:rPr>
          <w:sz w:val="24"/>
        </w:rPr>
      </w:r>
    </w:p>
    <w:p>
      <w:pPr>
        <w:pStyle w:val="BodyTextIndent"/>
        <w:spacing w:lineRule="auto" w:line="240"/>
        <w:ind w:hanging="0" w:end="0"/>
        <w:rPr>
          <w:rFonts w:ascii="Times New Roman" w:hAnsi="Times New Roman" w:cs="Times New Roman"/>
          <w:sz w:val="24"/>
        </w:rPr>
      </w:pPr>
      <w:r>
        <w:rPr>
          <w:rFonts w:cs="Times New Roman" w:ascii="Times New Roman" w:hAnsi="Times New Roman"/>
          <w:sz w:val="24"/>
        </w:rPr>
        <w:t>American Electric Power is a multinational energy company based in Columbus, Ohio.  AEP owns and operates more than 38,000 megawatts of generating capacity, making it one of America’s largest generators of electricity. The company is also a leading wholesale energy marketer and trader, ranking second in the U.S. in electricity volume.  AEP provides retail electricity to more than 9 million customers worldwide and has more than $35 billion in assets, primarily in the U.S. with holdings in select international markets.  Wholly owned subsidiaries are involved in power engineering and construction services, energy management and telecommunications.  News releases and other information about AEP can be found on the World Wide Web at http://www.aep.com.</w:t>
      </w:r>
    </w:p>
    <w:p>
      <w:pPr>
        <w:pStyle w:val="Normal"/>
        <w:rPr>
          <w:rFonts w:ascii="Times New Roman" w:hAnsi="Times New Roman" w:cs="Times New Roman"/>
          <w:sz w:val="24"/>
        </w:rPr>
      </w:pPr>
      <w:r>
        <w:rPr>
          <w:rFonts w:cs="Times New Roman"/>
          <w:sz w:val="24"/>
        </w:rPr>
      </w:r>
    </w:p>
    <w:p>
      <w:pPr>
        <w:pStyle w:val="BodyTextIndent"/>
        <w:spacing w:lineRule="auto" w:line="240"/>
        <w:ind w:hanging="0" w:end="0"/>
        <w:rPr>
          <w:rFonts w:ascii="Times New Roman" w:hAnsi="Times New Roman" w:cs="Times New Roman"/>
          <w:sz w:val="24"/>
        </w:rPr>
      </w:pPr>
      <w:r>
        <w:rPr>
          <w:rFonts w:cs="Times New Roman" w:ascii="Times New Roman" w:hAnsi="Times New Roman"/>
          <w:sz w:val="24"/>
        </w:rPr>
        <w:t>--END—</w:t>
      </w:r>
    </w:p>
    <w:p>
      <w:pPr>
        <w:pStyle w:val="BodyTextIndent"/>
        <w:spacing w:lineRule="auto" w:line="240"/>
        <w:ind w:hanging="0" w:end="0"/>
        <w:rPr>
          <w:rFonts w:ascii="Times New Roman" w:hAnsi="Times New Roman" w:cs="Times New Roman"/>
          <w:sz w:val="24"/>
        </w:rPr>
      </w:pPr>
      <w:r>
        <w:rPr>
          <w:rFonts w:cs="Times New Roman" w:ascii="Times New Roman" w:hAnsi="Times New Roman"/>
          <w:sz w:val="24"/>
        </w:rPr>
      </w:r>
    </w:p>
    <w:p>
      <w:pPr>
        <w:pStyle w:val="BodyTextIndent"/>
        <w:spacing w:lineRule="auto" w:line="240"/>
        <w:ind w:hanging="0" w:end="0"/>
        <w:rPr>
          <w:rFonts w:ascii="Times New Roman" w:hAnsi="Times New Roman" w:cs="Times New Roman"/>
          <w:sz w:val="24"/>
        </w:rPr>
      </w:pPr>
      <w:r>
        <w:rPr>
          <w:rFonts w:cs="Times New Roman" w:ascii="Times New Roman" w:hAnsi="Times New Roman"/>
          <w:sz w:val="24"/>
        </w:rPr>
        <w:t>For further information, contact:</w:t>
      </w:r>
    </w:p>
    <w:p>
      <w:pPr>
        <w:pStyle w:val="BodyTextIndent"/>
        <w:spacing w:lineRule="auto" w:line="240"/>
        <w:ind w:hanging="0" w:end="0"/>
        <w:rPr>
          <w:rFonts w:ascii="Times New Roman" w:hAnsi="Times New Roman" w:cs="Times New Roman"/>
          <w:sz w:val="24"/>
        </w:rPr>
      </w:pPr>
      <w:r>
        <w:rPr>
          <w:rFonts w:cs="Times New Roman" w:ascii="Times New Roman" w:hAnsi="Times New Roman"/>
          <w:sz w:val="24"/>
        </w:rPr>
      </w:r>
    </w:p>
    <w:p>
      <w:pPr>
        <w:pStyle w:val="BodyTextIndent"/>
        <w:spacing w:lineRule="auto" w:line="240"/>
        <w:ind w:hanging="0" w:end="0"/>
        <w:rPr>
          <w:rFonts w:ascii="Times New Roman" w:hAnsi="Times New Roman" w:cs="Times New Roman"/>
          <w:b/>
          <w:sz w:val="24"/>
        </w:rPr>
      </w:pPr>
      <w:r>
        <w:rPr>
          <w:rFonts w:cs="Times New Roman" w:ascii="Times New Roman" w:hAnsi="Times New Roman"/>
          <w:b/>
          <w:sz w:val="24"/>
        </w:rPr>
        <w:t>American Electric Power</w:t>
      </w:r>
    </w:p>
    <w:p>
      <w:pPr>
        <w:pStyle w:val="BodyTextIndent"/>
        <w:spacing w:lineRule="auto" w:line="240"/>
        <w:ind w:hanging="0" w:end="0"/>
        <w:rPr>
          <w:rFonts w:ascii="Times New Roman" w:hAnsi="Times New Roman" w:cs="Times New Roman"/>
          <w:sz w:val="24"/>
        </w:rPr>
      </w:pPr>
      <w:r>
        <w:rPr>
          <w:rFonts w:cs="Times New Roman" w:ascii="Times New Roman" w:hAnsi="Times New Roman"/>
          <w:sz w:val="24"/>
        </w:rPr>
        <w:t>Media: Pat D. Hemlepp, 614/223-1620</w:t>
      </w:r>
    </w:p>
    <w:p>
      <w:pPr>
        <w:pStyle w:val="BodyTextIndent"/>
        <w:spacing w:lineRule="auto" w:line="240"/>
        <w:ind w:hanging="0" w:end="0"/>
        <w:rPr>
          <w:rFonts w:ascii="Times New Roman" w:hAnsi="Times New Roman" w:cs="Times New Roman"/>
          <w:sz w:val="24"/>
        </w:rPr>
      </w:pPr>
      <w:r>
        <w:rPr>
          <w:rFonts w:cs="Times New Roman" w:ascii="Times New Roman" w:hAnsi="Times New Roman"/>
          <w:sz w:val="24"/>
        </w:rPr>
        <w:t>Analysts: Bette Jo Rozsa, 614/223-2840</w:t>
      </w:r>
    </w:p>
    <w:p>
      <w:pPr>
        <w:pStyle w:val="BodyTextIndent"/>
        <w:spacing w:lineRule="auto" w:line="240"/>
        <w:ind w:hanging="0" w:end="0"/>
        <w:rPr>
          <w:rFonts w:ascii="Times New Roman" w:hAnsi="Times New Roman" w:cs="Times New Roman"/>
          <w:sz w:val="24"/>
        </w:rPr>
      </w:pPr>
      <w:r>
        <w:rPr>
          <w:rFonts w:cs="Times New Roman" w:ascii="Times New Roman" w:hAnsi="Times New Roman"/>
          <w:sz w:val="24"/>
        </w:rPr>
      </w:r>
    </w:p>
    <w:p>
      <w:pPr>
        <w:pStyle w:val="Normal"/>
        <w:rPr>
          <w:sz w:val="24"/>
        </w:rPr>
      </w:pPr>
      <w:r>
        <w:rPr>
          <w:sz w:val="24"/>
        </w:rPr>
      </w:r>
      <w:r>
        <w:br w:type="page"/>
      </w:r>
    </w:p>
    <w:p>
      <w:pPr>
        <w:pStyle w:val="Normal"/>
        <w:rPr/>
      </w:pPr>
      <w:r>
        <w:rPr>
          <w:b/>
          <w:sz w:val="24"/>
          <w:u w:val="single"/>
        </w:rPr>
        <w:t>Q&amp;A FOR INTERNAL PREP ONLY – NOT FOR EXTERNAL DISTRIBUTION</w:t>
      </w:r>
      <w:r>
        <w:rPr>
          <w:sz w:val="24"/>
        </w:rPr>
        <w:t>:</w:t>
      </w:r>
    </w:p>
    <w:p>
      <w:pPr>
        <w:pStyle w:val="DefaultText"/>
        <w:rPr>
          <w:sz w:val="24"/>
        </w:rPr>
      </w:pPr>
      <w:r>
        <w:rPr>
          <w:sz w:val="24"/>
        </w:rPr>
      </w:r>
    </w:p>
    <w:p>
      <w:pPr>
        <w:pStyle w:val="Normal"/>
        <w:numPr>
          <w:ilvl w:val="0"/>
          <w:numId w:val="2"/>
        </w:numPr>
        <w:spacing w:before="0" w:after="240"/>
        <w:rPr>
          <w:sz w:val="24"/>
        </w:rPr>
      </w:pPr>
      <w:r>
        <w:rPr>
          <w:sz w:val="24"/>
        </w:rPr>
        <w:t>What state and federal filings will be required by AEP to complete this transaction?</w:t>
        <w:br/>
        <w:br/>
        <w:t xml:space="preserve">Hart-Scott-Rodino filings. </w:t>
      </w:r>
    </w:p>
    <w:p>
      <w:pPr>
        <w:pStyle w:val="Normal"/>
        <w:numPr>
          <w:ilvl w:val="0"/>
          <w:numId w:val="2"/>
        </w:numPr>
        <w:spacing w:before="0" w:after="240"/>
        <w:rPr>
          <w:sz w:val="24"/>
        </w:rPr>
      </w:pPr>
      <w:r>
        <w:rPr>
          <w:sz w:val="24"/>
        </w:rPr>
        <w:t>Since AEP will own pipelines in both Texas and Louisiana, will the company’s pipeline operation fall under FERC jurisdiction?</w:t>
        <w:br/>
        <w:br/>
        <w:t xml:space="preserve">No </w:t>
      </w:r>
    </w:p>
    <w:p>
      <w:pPr>
        <w:pStyle w:val="Normal"/>
        <w:numPr>
          <w:ilvl w:val="0"/>
          <w:numId w:val="2"/>
        </w:numPr>
        <w:spacing w:before="0" w:after="240"/>
        <w:rPr>
          <w:sz w:val="24"/>
        </w:rPr>
      </w:pPr>
      <w:r>
        <w:rPr>
          <w:sz w:val="24"/>
        </w:rPr>
        <w:t>Will the same management team be responsible for AEP’s pipeline assets in Louisiana and Texas?</w:t>
        <w:br/>
        <w:br/>
        <w:t>Yes</w:t>
      </w:r>
    </w:p>
    <w:p>
      <w:pPr>
        <w:pStyle w:val="Normal"/>
        <w:numPr>
          <w:ilvl w:val="0"/>
          <w:numId w:val="2"/>
        </w:numPr>
        <w:spacing w:before="0" w:after="240"/>
        <w:rPr>
          <w:sz w:val="24"/>
        </w:rPr>
      </w:pPr>
      <w:r>
        <w:rPr>
          <w:sz w:val="24"/>
        </w:rPr>
        <w:t>About a year ago AEP moved its traders out of Houston and combined that operation with its primary trading group in Columbus.  Will AEP be moving traders back to Houston to support and market the HPL assets?</w:t>
        <w:br/>
        <w:br/>
        <w:t>We anticipate maintaining a presence in Houston with a connection to management oversight in Columbus.</w:t>
      </w:r>
    </w:p>
    <w:p>
      <w:pPr>
        <w:pStyle w:val="Normal"/>
        <w:numPr>
          <w:ilvl w:val="0"/>
          <w:numId w:val="2"/>
        </w:numPr>
        <w:spacing w:before="0" w:after="240"/>
        <w:rPr>
          <w:sz w:val="24"/>
        </w:rPr>
      </w:pPr>
      <w:r>
        <w:rPr>
          <w:sz w:val="24"/>
        </w:rPr>
        <w:t>Why weren’t terms of the transaction disclosed?  Will this have to be disclosed in public filings?</w:t>
        <w:br/>
        <w:br/>
        <w:t xml:space="preserve">Terms of the transaction will be disclosed in company financial filings. </w:t>
      </w:r>
    </w:p>
    <w:p>
      <w:pPr>
        <w:pStyle w:val="Normal"/>
        <w:numPr>
          <w:ilvl w:val="0"/>
          <w:numId w:val="2"/>
        </w:numPr>
        <w:spacing w:before="0" w:after="240"/>
        <w:rPr>
          <w:sz w:val="24"/>
        </w:rPr>
      </w:pPr>
      <w:r>
        <w:rPr>
          <w:sz w:val="24"/>
        </w:rPr>
        <w:t>If these assets are so attractive, why was Enron interested in selling them?</w:t>
        <w:br/>
        <w:br/>
        <w:t>We do know that Enron’s strategy has it selling a variety of energy assets, but you should ask questions about Enron’s strategy to Enron.</w:t>
      </w:r>
    </w:p>
    <w:p>
      <w:pPr>
        <w:pStyle w:val="Normal"/>
        <w:numPr>
          <w:ilvl w:val="0"/>
          <w:numId w:val="2"/>
        </w:numPr>
        <w:spacing w:before="0" w:after="240"/>
        <w:rPr>
          <w:sz w:val="24"/>
        </w:rPr>
      </w:pPr>
      <w:r>
        <w:rPr>
          <w:sz w:val="24"/>
        </w:rPr>
        <w:t>Does HPL supply gas to any AEP plants in Texas?  If so, will owning the asset provide AEP with any price advantages for natural gas to fuel the plants?</w:t>
        <w:br/>
        <w:br/>
        <w:t xml:space="preserve">On a going-forward basis, HPL will one of three pipelines physically connected to AEP’s Victoria, Texas, generating station </w:t>
      </w:r>
    </w:p>
    <w:p>
      <w:pPr>
        <w:pStyle w:val="Normal"/>
        <w:numPr>
          <w:ilvl w:val="0"/>
          <w:numId w:val="2"/>
        </w:numPr>
        <w:spacing w:before="0" w:after="240"/>
        <w:rPr>
          <w:sz w:val="24"/>
        </w:rPr>
      </w:pPr>
      <w:r>
        <w:rPr>
          <w:sz w:val="24"/>
        </w:rPr>
        <w:t>Where is the pipeline?  What areas are covered by this pipeline?  Is a map available?</w:t>
        <w:br/>
        <w:br/>
        <w:t xml:space="preserve">The pipelines generally run from south Texas to Houston and from east Texas to Houston.   </w:t>
      </w:r>
    </w:p>
    <w:p>
      <w:pPr>
        <w:pStyle w:val="Normal"/>
        <w:numPr>
          <w:ilvl w:val="0"/>
          <w:numId w:val="2"/>
        </w:numPr>
        <w:spacing w:before="0" w:after="240"/>
        <w:rPr>
          <w:sz w:val="24"/>
        </w:rPr>
      </w:pPr>
      <w:r>
        <w:rPr>
          <w:sz w:val="24"/>
        </w:rPr>
        <w:t>How does the current gas supply crunch and high prices of natural gas effect a gas pipeline owner?</w:t>
        <w:br/>
        <w:br/>
        <w:t>High prices for natural gas encourage production along the pipeline and increases the throughput for pipeline systems like HPL.</w:t>
      </w:r>
    </w:p>
    <w:p>
      <w:pPr>
        <w:pStyle w:val="Normal"/>
        <w:numPr>
          <w:ilvl w:val="0"/>
          <w:numId w:val="2"/>
        </w:numPr>
        <w:spacing w:before="0" w:after="240"/>
        <w:rPr>
          <w:sz w:val="24"/>
        </w:rPr>
      </w:pPr>
      <w:r>
        <w:rPr>
          <w:sz w:val="24"/>
        </w:rPr>
        <w:t xml:space="preserve">Does this mean that AEP will be selling natural gas to retail customers in Texas? </w:t>
        <w:br/>
        <w:br/>
        <w:t>No.</w:t>
      </w:r>
    </w:p>
    <w:p>
      <w:pPr>
        <w:pStyle w:val="Normal"/>
        <w:numPr>
          <w:ilvl w:val="0"/>
          <w:numId w:val="2"/>
        </w:numPr>
        <w:spacing w:before="0" w:after="240"/>
        <w:rPr>
          <w:sz w:val="24"/>
        </w:rPr>
      </w:pPr>
      <w:r>
        <w:rPr>
          <w:sz w:val="24"/>
        </w:rPr>
        <w:t>How many employees will AEP gain with the acquisition of HPL?  Are their jobs in jeopardy?</w:t>
        <w:br/>
        <w:br/>
        <w:t>HPL has approximately  240 employees.  These employees are in positions necessary to operate the pipelines and related assets.</w:t>
      </w:r>
    </w:p>
    <w:p>
      <w:pPr>
        <w:pStyle w:val="Normal"/>
        <w:numPr>
          <w:ilvl w:val="0"/>
          <w:numId w:val="2"/>
        </w:numPr>
        <w:spacing w:before="0" w:after="240"/>
        <w:rPr>
          <w:sz w:val="24"/>
        </w:rPr>
      </w:pPr>
      <w:r>
        <w:rPr>
          <w:sz w:val="24"/>
        </w:rPr>
        <w:t>Will anyone from AEP – or Enron – be available for media interviews after this is announced?</w:t>
        <w:br/>
        <w:br/>
        <w:t>Addis, Hart, van der Walde.</w:t>
      </w:r>
    </w:p>
    <w:p>
      <w:pPr>
        <w:pStyle w:val="Normal"/>
        <w:spacing w:before="0" w:after="240"/>
        <w:rPr>
          <w:sz w:val="24"/>
        </w:rPr>
      </w:pPr>
      <w:r>
        <w:rPr>
          <w:sz w:val="24"/>
        </w:rPr>
      </w:r>
    </w:p>
    <w:sectPr>
      <w:headerReference w:type="default" r:id="rId3"/>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1/11/01 Noon EST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Text">
    <w:name w:val="Default Text"/>
    <w:basedOn w:val="Normal"/>
    <w:qFormat/>
    <w:pPr/>
    <w:rPr>
      <w:sz w:val="24"/>
    </w:rPr>
  </w:style>
  <w:style w:type="paragraph" w:styleId="BodyTextIndent">
    <w:name w:val="Body Text Indent"/>
    <w:basedOn w:val="Normal"/>
    <w:pPr>
      <w:overflowPunct w:val="false"/>
      <w:autoSpaceDE w:val="false"/>
      <w:spacing w:lineRule="auto" w:line="360"/>
      <w:ind w:firstLine="720" w:start="0" w:end="0"/>
      <w:textAlignment w:val="baseline"/>
    </w:pPr>
    <w:rPr>
      <w:rFonts w:ascii="Arial" w:hAnsi="Arial" w:cs="Arial"/>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2001-01-11T18:19:00Z</dcterms:created>
  <dc:creator>Pat D. Hemlepp</dc:creator>
  <dc:description/>
  <dc:language>en-CA</dc:language>
  <cp:lastModifiedBy>Eric William Thode</cp:lastModifiedBy>
  <cp:lastPrinted>2001-01-11T14:36:00Z</cp:lastPrinted>
  <dcterms:modified xsi:type="dcterms:W3CDTF">2001-01-11T18:19:00Z</dcterms:modified>
  <cp:revision>2</cp:revision>
  <dc:subject/>
  <dc:title>ENRON TO SELL HOUSTON PIPE LINE COMPANY TO AEP</dc:title>
</cp:coreProperties>
</file>