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 – OPERATING LEASE SUMMARY</w:t>
      </w:r>
    </w:p>
    <w:p>
      <w:pPr>
        <w:pStyle w:val="Normal"/>
        <w:rPr/>
      </w:pPr>
      <w:r>
        <w:rPr/>
      </w:r>
    </w:p>
    <w:p>
      <w:pPr>
        <w:pStyle w:val="Normal"/>
        <w:rPr/>
      </w:pPr>
      <w:r>
        <w:rPr>
          <w:b/>
          <w:bCs/>
        </w:rPr>
        <w:t>Lessor:</w:t>
      </w:r>
      <w:r>
        <w:rPr/>
        <w:tab/>
        <w:tab/>
        <w:tab/>
        <w:tab/>
        <w:tab/>
        <w:t>Enron Corp. (“Enron”)</w:t>
      </w:r>
    </w:p>
    <w:p>
      <w:pPr>
        <w:pStyle w:val="Normal"/>
        <w:jc w:val="both"/>
        <w:rPr/>
      </w:pPr>
      <w:r>
        <w:rPr/>
      </w:r>
    </w:p>
    <w:p>
      <w:pPr>
        <w:pStyle w:val="Normal"/>
        <w:tabs>
          <w:tab w:val="clear" w:pos="720"/>
          <w:tab w:val="left" w:pos="4320" w:leader="none"/>
        </w:tabs>
        <w:ind w:hanging="4320" w:start="4320" w:end="0"/>
        <w:jc w:val="both"/>
        <w:rPr/>
      </w:pPr>
      <w:r>
        <w:rPr>
          <w:b/>
          <w:bCs/>
        </w:rPr>
        <w:t>Lessee:</w:t>
        <w:tab/>
      </w:r>
      <w:r>
        <w:rPr/>
        <w:t>Houston Pipe Line Company (“HPL”), a subsidiary of [Purchaser]</w:t>
      </w:r>
    </w:p>
    <w:p>
      <w:pPr>
        <w:pStyle w:val="Normal"/>
        <w:jc w:val="both"/>
        <w:rPr/>
      </w:pPr>
      <w:r>
        <w:rPr/>
      </w:r>
    </w:p>
    <w:p>
      <w:pPr>
        <w:pStyle w:val="Normal"/>
        <w:ind w:hanging="4320" w:start="4320" w:end="0"/>
        <w:jc w:val="both"/>
        <w:rPr/>
      </w:pPr>
      <w:r>
        <w:rPr>
          <w:b/>
          <w:bCs/>
        </w:rPr>
        <w:t>Assets:</w:t>
      </w:r>
      <w:r>
        <w:rPr/>
        <w:tab/>
        <w:t>____ miles of Texas intrastate pipeline, the Bammel Storage Facility, related facilities and all underlying real property interests</w:t>
      </w:r>
    </w:p>
    <w:p>
      <w:pPr>
        <w:pStyle w:val="Normal"/>
        <w:jc w:val="both"/>
        <w:rPr/>
      </w:pPr>
      <w:r>
        <w:rPr/>
      </w:r>
    </w:p>
    <w:p>
      <w:pPr>
        <w:pStyle w:val="Normal"/>
        <w:ind w:hanging="4320" w:start="4320" w:end="0"/>
        <w:jc w:val="both"/>
        <w:rPr/>
      </w:pPr>
      <w:r>
        <w:rPr>
          <w:b/>
          <w:bCs/>
        </w:rPr>
        <w:t>Purpose:</w:t>
      </w:r>
      <w:r>
        <w:rPr/>
        <w:tab/>
        <w:t>Conduct intrastate gas sales, transportation and storage operations as conducted prior to commencement of the lease; provided operations remain in compliance with law and do not cause Lessor to be in conflict with other laws</w:t>
      </w:r>
    </w:p>
    <w:p>
      <w:pPr>
        <w:pStyle w:val="Normal"/>
        <w:jc w:val="both"/>
        <w:rPr/>
      </w:pPr>
      <w:r>
        <w:rPr/>
      </w:r>
    </w:p>
    <w:p>
      <w:pPr>
        <w:pStyle w:val="Normal"/>
        <w:ind w:hanging="4320" w:start="4320" w:end="0"/>
        <w:jc w:val="both"/>
        <w:rPr/>
      </w:pPr>
      <w:r>
        <w:rPr>
          <w:b/>
          <w:bCs/>
        </w:rPr>
        <w:t>Term:</w:t>
      </w:r>
      <w:r>
        <w:rPr/>
        <w:tab/>
        <w:t>30-year lease commencing December 31, 2000 (with provision for mutually agreed extensions)</w:t>
      </w:r>
    </w:p>
    <w:p>
      <w:pPr>
        <w:pStyle w:val="Normal"/>
        <w:jc w:val="both"/>
        <w:rPr/>
      </w:pPr>
      <w:r>
        <w:rPr/>
      </w:r>
    </w:p>
    <w:p>
      <w:pPr>
        <w:pStyle w:val="Normal"/>
        <w:jc w:val="both"/>
        <w:rPr/>
      </w:pPr>
      <w:r>
        <w:rPr>
          <w:b/>
          <w:bCs/>
        </w:rPr>
        <w:t>Lease Payment Schedule:</w:t>
      </w:r>
      <w:r>
        <w:rPr/>
        <w:tab/>
        <w:tab/>
        <w:tab/>
        <w:t>$30 million per annum</w:t>
      </w:r>
    </w:p>
    <w:p>
      <w:pPr>
        <w:pStyle w:val="Normal"/>
        <w:jc w:val="both"/>
        <w:rPr/>
      </w:pPr>
      <w:r>
        <w:rPr/>
      </w:r>
    </w:p>
    <w:p>
      <w:pPr>
        <w:pStyle w:val="Normal"/>
        <w:jc w:val="both"/>
        <w:rPr/>
      </w:pPr>
      <w:r>
        <w:rPr>
          <w:b/>
          <w:bCs/>
        </w:rPr>
        <w:t>Guarantor:</w:t>
      </w:r>
      <w:r>
        <w:rPr/>
        <w:tab/>
        <w:tab/>
        <w:tab/>
        <w:tab/>
        <w:tab/>
        <w:t>[Purchaser]</w:t>
      </w:r>
    </w:p>
    <w:p>
      <w:pPr>
        <w:pStyle w:val="Normal"/>
        <w:jc w:val="both"/>
        <w:rPr/>
      </w:pPr>
      <w:r>
        <w:rPr/>
      </w:r>
    </w:p>
    <w:p>
      <w:pPr>
        <w:pStyle w:val="Normal"/>
        <w:ind w:hanging="4320" w:start="4320" w:end="0"/>
        <w:jc w:val="both"/>
        <w:rPr/>
      </w:pPr>
      <w:r>
        <w:rPr>
          <w:b/>
          <w:bCs/>
        </w:rPr>
        <w:t>Guarantor’s Covenants:</w:t>
      </w:r>
      <w:r>
        <w:rPr/>
        <w:tab/>
        <w:t>Absolute and unconditional obligation to perform lease and to perform, among other things, covenants to maintain financial condition, to limit debt and other commitments (such as liens and leases), to maintain net worth and to prohibit material changes</w:t>
      </w:r>
    </w:p>
    <w:p>
      <w:pPr>
        <w:pStyle w:val="Normal"/>
        <w:jc w:val="both"/>
        <w:rPr/>
      </w:pPr>
      <w:r>
        <w:rPr/>
      </w:r>
    </w:p>
    <w:p>
      <w:pPr>
        <w:pStyle w:val="Normal"/>
        <w:ind w:hanging="4320" w:start="4320" w:end="0"/>
        <w:jc w:val="both"/>
        <w:rPr/>
      </w:pPr>
      <w:r>
        <w:rPr>
          <w:b/>
          <w:bCs/>
        </w:rPr>
        <w:t>Transferability:</w:t>
      </w:r>
      <w:r>
        <w:rPr/>
        <w:tab/>
        <w:t>Subject to the prior consent of the Lessor, Lessee may transfer or assign the lease upon the execution and delivery of an acceptable assignment and assumption agreement (as defined in the lease agreement) to the Lessor.  Additionally, subject to the prior consent of the Lessor and certain other conditions, the Lessee may sublease the leased property of HPL, or any portion thereof which can be operated independently of the pipeline system</w:t>
      </w:r>
    </w:p>
    <w:p>
      <w:pPr>
        <w:pStyle w:val="Normal"/>
        <w:jc w:val="both"/>
        <w:rPr/>
      </w:pPr>
      <w:r>
        <w:rPr/>
      </w:r>
    </w:p>
    <w:p>
      <w:pPr>
        <w:pStyle w:val="Normal"/>
        <w:ind w:hanging="4320" w:start="4320" w:end="0"/>
        <w:jc w:val="both"/>
        <w:rPr/>
      </w:pPr>
      <w:r>
        <w:rPr>
          <w:b/>
          <w:bCs/>
        </w:rPr>
        <w:t>Purchase Option:</w:t>
      </w:r>
      <w:r>
        <w:rPr/>
        <w:tab/>
        <w:t>Lessee has the option to purchase all (but not less than all) of the leased property of HPL upon expiration of the lease term at a price equal to the fair market value (as defined in the lease agreement) of the leased property.</w:t>
      </w:r>
    </w:p>
    <w:p>
      <w:pPr>
        <w:pStyle w:val="Normal"/>
        <w:jc w:val="both"/>
        <w:rPr/>
      </w:pPr>
      <w:r>
        <w:rPr/>
      </w:r>
    </w:p>
    <w:p>
      <w:pPr>
        <w:pStyle w:val="Normal"/>
        <w:tabs>
          <w:tab w:val="clear" w:pos="720"/>
          <w:tab w:val="left" w:pos="4320" w:leader="none"/>
        </w:tabs>
        <w:ind w:hanging="5040" w:start="5040" w:end="0"/>
        <w:jc w:val="both"/>
        <w:rPr/>
      </w:pPr>
      <w:r>
        <w:rPr>
          <w:b/>
        </w:rPr>
        <w:t>Net/Net Lease:</w:t>
        <w:tab/>
        <w:t>●</w:t>
        <w:tab/>
      </w:r>
      <w:r>
        <w:rPr>
          <w:bCs/>
        </w:rPr>
        <w:t>Bear (without deduction from rental) all costs and all taxes (except Lessor’s income tax), assessments and fees;</w:t>
      </w:r>
    </w:p>
    <w:p>
      <w:pPr>
        <w:pStyle w:val="Normal"/>
        <w:jc w:val="both"/>
        <w:rPr>
          <w:bCs/>
        </w:rPr>
      </w:pPr>
      <w:r>
        <w:rPr>
          <w:bCs/>
        </w:rPr>
      </w:r>
    </w:p>
    <w:p>
      <w:pPr>
        <w:pStyle w:val="BodyTextIndent"/>
        <w:jc w:val="both"/>
        <w:rPr/>
      </w:pPr>
      <w:r>
        <w:rPr/>
        <w:tab/>
        <w:t>●</w:t>
        <w:tab/>
        <w:t>Obtain and maintain all permits and governmental authorizations;</w:t>
      </w:r>
    </w:p>
    <w:p>
      <w:pPr>
        <w:pStyle w:val="Normal"/>
        <w:jc w:val="both"/>
        <w:rPr>
          <w:bCs/>
        </w:rPr>
      </w:pPr>
      <w:r>
        <w:rPr>
          <w:bCs/>
        </w:rPr>
      </w:r>
    </w:p>
    <w:p>
      <w:pPr>
        <w:pStyle w:val="BodyTextIndent"/>
        <w:jc w:val="both"/>
        <w:rPr/>
      </w:pPr>
      <w:r>
        <w:rPr/>
        <w:tab/>
        <w:t>●</w:t>
        <w:tab/>
        <w:t>Maintain and repair all leases, rights-of-way, easements and permits;</w:t>
      </w:r>
    </w:p>
    <w:p>
      <w:pPr>
        <w:pStyle w:val="Normal"/>
        <w:jc w:val="both"/>
        <w:rPr>
          <w:bCs/>
        </w:rPr>
      </w:pPr>
      <w:r>
        <w:rPr>
          <w:bCs/>
        </w:rPr>
      </w:r>
    </w:p>
    <w:p>
      <w:pPr>
        <w:pStyle w:val="Normal"/>
        <w:jc w:val="both"/>
        <w:rPr>
          <w:bCs/>
        </w:rPr>
      </w:pPr>
      <w:r>
        <w:rPr>
          <w:bCs/>
        </w:rPr>
        <w:tab/>
        <w:tab/>
        <w:tab/>
        <w:tab/>
        <w:tab/>
        <w:tab/>
        <w:t>●</w:t>
        <w:tab/>
        <w:t>Pay all utilities when due;</w:t>
      </w:r>
    </w:p>
    <w:p>
      <w:pPr>
        <w:pStyle w:val="Normal"/>
        <w:jc w:val="both"/>
        <w:rPr>
          <w:bCs/>
        </w:rPr>
      </w:pPr>
      <w:r>
        <w:rPr>
          <w:bCs/>
        </w:rPr>
      </w:r>
    </w:p>
    <w:p>
      <w:pPr>
        <w:pStyle w:val="BodyTextIndent"/>
        <w:jc w:val="both"/>
        <w:rPr/>
      </w:pPr>
      <w:r>
        <w:rPr/>
        <w:tab/>
        <w:t>●</w:t>
        <w:tab/>
        <w:t>Comply with all laws and make any required alterations;</w:t>
      </w:r>
    </w:p>
    <w:p>
      <w:pPr>
        <w:pStyle w:val="Normal"/>
        <w:jc w:val="both"/>
        <w:rPr>
          <w:bCs/>
        </w:rPr>
      </w:pPr>
      <w:r>
        <w:rPr>
          <w:bCs/>
        </w:rPr>
      </w:r>
    </w:p>
    <w:p>
      <w:pPr>
        <w:pStyle w:val="Normal"/>
        <w:ind w:hanging="720" w:start="5040" w:end="0"/>
        <w:jc w:val="both"/>
        <w:rPr>
          <w:bCs/>
        </w:rPr>
      </w:pPr>
      <w:r>
        <w:rPr>
          <w:bCs/>
        </w:rPr>
        <w:t>●</w:t>
      </w:r>
      <w:r>
        <w:rPr>
          <w:bCs/>
        </w:rPr>
        <w:tab/>
        <w:t>Maintain adequate insurance, with Lessor named as an additional insured;</w:t>
      </w:r>
    </w:p>
    <w:p>
      <w:pPr>
        <w:pStyle w:val="Normal"/>
        <w:jc w:val="both"/>
        <w:rPr>
          <w:bCs/>
        </w:rPr>
      </w:pPr>
      <w:r>
        <w:rPr>
          <w:bCs/>
        </w:rPr>
      </w:r>
    </w:p>
    <w:p>
      <w:pPr>
        <w:pStyle w:val="BodyTextIndent"/>
        <w:jc w:val="both"/>
        <w:rPr/>
      </w:pPr>
      <w:r>
        <w:rPr/>
        <w:tab/>
        <w:t>●</w:t>
        <w:tab/>
        <w:t>Maintain and operate leased property (including equipment and other improvements) in accordance with industry standards and manufacturer’s requirements (as applicable); replace damaged or condemned leased property;</w:t>
      </w:r>
    </w:p>
    <w:p>
      <w:pPr>
        <w:pStyle w:val="Normal"/>
        <w:jc w:val="both"/>
        <w:rPr>
          <w:bCs/>
        </w:rPr>
      </w:pPr>
      <w:r>
        <w:rPr>
          <w:bCs/>
        </w:rPr>
      </w:r>
    </w:p>
    <w:p>
      <w:pPr>
        <w:pStyle w:val="BodyTextIndent"/>
        <w:tabs>
          <w:tab w:val="left" w:pos="4320" w:leader="none"/>
          <w:tab w:val="left" w:pos="5040" w:leader="none"/>
        </w:tabs>
        <w:jc w:val="both"/>
        <w:rPr/>
      </w:pPr>
      <w:r>
        <w:rPr/>
        <w:tab/>
        <w:t>●</w:t>
        <w:tab/>
        <w:t>Make all alterations and additions for the benefit of the leased property (without derogation) subject to Lessor oversight with ownership reverting to Lessor upon lease termination; and</w:t>
      </w:r>
    </w:p>
    <w:p>
      <w:pPr>
        <w:pStyle w:val="Normal"/>
        <w:jc w:val="both"/>
        <w:rPr>
          <w:bCs/>
        </w:rPr>
      </w:pPr>
      <w:r>
        <w:rPr>
          <w:bCs/>
        </w:rPr>
      </w:r>
    </w:p>
    <w:p>
      <w:pPr>
        <w:pStyle w:val="BodyTextIndent"/>
        <w:tabs>
          <w:tab w:val="left" w:pos="4320" w:leader="none"/>
          <w:tab w:val="left" w:pos="5040" w:leader="none"/>
        </w:tabs>
        <w:jc w:val="both"/>
        <w:rPr/>
      </w:pPr>
      <w:r>
        <w:rPr/>
        <w:tab/>
        <w:t>●</w:t>
        <w:tab/>
        <w:t>Not assign or sublease without the Lessor’s consent</w:t>
      </w:r>
    </w:p>
    <w:p>
      <w:pPr>
        <w:pStyle w:val="Normal"/>
        <w:jc w:val="both"/>
        <w:rPr>
          <w:bCs/>
        </w:rPr>
      </w:pPr>
      <w:r>
        <w:rPr>
          <w:bCs/>
        </w:rPr>
      </w:r>
    </w:p>
    <w:p>
      <w:pPr>
        <w:pStyle w:val="Normal"/>
        <w:ind w:hanging="4320" w:start="4320" w:end="0"/>
        <w:jc w:val="both"/>
        <w:rPr/>
      </w:pPr>
      <w:r>
        <w:rPr>
          <w:b/>
        </w:rPr>
        <w:t>Default:</w:t>
        <w:tab/>
      </w:r>
      <w:r>
        <w:rPr>
          <w:bCs/>
        </w:rPr>
        <w:t>Failure to perform lease or guarantee provisions after grace periods or other specified events permits the termination of the lease or the Lessor’s performance of the lease on the Lessee’s behalf</w:t>
      </w:r>
    </w:p>
    <w:p>
      <w:pPr>
        <w:pStyle w:val="Normal"/>
        <w:jc w:val="both"/>
        <w:rPr>
          <w:bCs/>
        </w:rPr>
      </w:pPr>
      <w:r>
        <w:rPr>
          <w:bCs/>
        </w:rPr>
      </w:r>
    </w:p>
    <w:p>
      <w:pPr>
        <w:pStyle w:val="Normal"/>
        <w:ind w:hanging="4320" w:start="4320" w:end="0"/>
        <w:jc w:val="both"/>
        <w:rPr/>
      </w:pPr>
      <w:r>
        <w:rPr>
          <w:b/>
        </w:rPr>
        <w:t>Financial Reporting:</w:t>
        <w:tab/>
      </w:r>
      <w:r>
        <w:rPr>
          <w:bCs/>
        </w:rPr>
        <w:t>The lease has been structured to be accounted for as an operating lease, and is therefore not reflected on the Lessee’s balance sheet.  Lease payments are expensed on a straight-line basis over the remaining life of the lease, representing book expense of $30 million per year</w:t>
      </w:r>
    </w:p>
    <w:p>
      <w:pPr>
        <w:pStyle w:val="Normal"/>
        <w:jc w:val="both"/>
        <w:rPr>
          <w:bCs/>
        </w:rPr>
      </w:pPr>
      <w:r>
        <w:rPr>
          <w:bCs/>
        </w:rPr>
      </w:r>
    </w:p>
    <w:p>
      <w:pPr>
        <w:pStyle w:val="Normal"/>
        <w:ind w:hanging="4320" w:start="4320" w:end="0"/>
        <w:jc w:val="both"/>
        <w:rPr/>
      </w:pPr>
      <w:r>
        <w:rPr>
          <w:b/>
        </w:rPr>
        <w:t>Tax Treatment:</w:t>
        <w:tab/>
      </w:r>
      <w:r>
        <w:rPr>
          <w:bCs/>
        </w:rPr>
        <w:t>For tax purposes, the lease is treated as a financing and lease payments are deductible on a cash basis</w:t>
      </w:r>
    </w:p>
    <w:p>
      <w:pPr>
        <w:pStyle w:val="Normal"/>
        <w:jc w:val="both"/>
        <w:rPr>
          <w:b/>
          <w:bCs/>
        </w:rPr>
      </w:pPr>
      <w:r>
        <w:rPr>
          <w:b/>
          <w:bCs/>
        </w:rPr>
      </w:r>
    </w:p>
    <w:p>
      <w:pPr>
        <w:pStyle w:val="Normal"/>
        <w:jc w:val="both"/>
        <w:rPr>
          <w:b/>
          <w:bCs/>
        </w:rPr>
      </w:pPr>
      <w:r>
        <w:rPr>
          <w:b/>
          <w:bCs/>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KAYMANN\HPLOPERATINGLEASESUMMARY.DOC</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4320" w:leader="none"/>
      </w:tabs>
      <w:ind w:hanging="5040" w:start="5040" w:end="0"/>
    </w:pPr>
    <w:rPr>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2000-08-02T11:40:00Z</dcterms:created>
  <dc:creator>sadams</dc:creator>
  <dc:description/>
  <dc:language>en-CA</dc:language>
  <cp:lastModifiedBy>kmann</cp:lastModifiedBy>
  <cp:lastPrinted>2000-08-02T09:38:00Z</cp:lastPrinted>
  <dcterms:modified xsi:type="dcterms:W3CDTF">2000-08-02T13:34:00Z</dcterms:modified>
  <cp:revision>2</cp:revision>
  <dc:subject/>
  <dc:title>EXHIBIT A – OPERATING LEASE SUMMARY</dc:title>
</cp:coreProperties>
</file>