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PROJECT 20/20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CLOSING CHECKLIST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orient="landscape" w:w="15840" w:h="12240"/>
          <w:pgMar w:left="720" w:right="720" w:gutter="0" w:header="720" w:top="776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CONFIDENTIAL</w:t>
      </w:r>
    </w:p>
    <w:p>
      <w:pPr>
        <w:pStyle w:val="Title"/>
        <w:rPr/>
      </w:pPr>
      <w:r>
        <w:rPr/>
        <w:t>CLOSING DOCUMENT CHECKLIST</w:t>
      </w:r>
    </w:p>
    <w:p>
      <w:pPr>
        <w:pStyle w:val="Normal"/>
        <w:ind w:firstLine="1440" w:end="0"/>
        <w:rPr/>
      </w:pPr>
      <w:r>
        <w:rPr>
          <w:sz w:val="20"/>
        </w:rPr>
        <w:t>Capitalized terms used but not defined herein shall have the meanings provided therefor in the Purchase and Sale Agreement, dated as of September </w:t>
      </w:r>
      <w:r>
        <w:rPr>
          <w:sz w:val="20"/>
          <w:u w:val="single"/>
        </w:rPr>
        <w:t>                </w:t>
      </w:r>
      <w:r>
        <w:rPr>
          <w:sz w:val="20"/>
        </w:rPr>
        <w:t>, 2000 (the “</w:t>
      </w:r>
      <w:r>
        <w:rPr>
          <w:sz w:val="20"/>
          <w:u w:val="single"/>
        </w:rPr>
        <w:t>Purchase Agreement</w:t>
      </w:r>
      <w:r>
        <w:rPr>
          <w:sz w:val="20"/>
        </w:rPr>
        <w:t>”), by Enron North America Corp. and Northern Border Intermediate Limited Partner.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400" w:type="dxa"/>
        <w:jc w:val="start"/>
        <w:tblInd w:w="10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3690"/>
        <w:gridCol w:w="10710"/>
      </w:tblGrid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DEFINITIONS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Andrews &amp; Kurth L.L.P., counsel to the Company and Enron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Bank NY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Bank of New York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Barclays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Barclays Bank PLC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BKB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BankBoston, N.A.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Burlington Resources Inc.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BRTI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Burlington Resources Trading Inc.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Credit Lyonnais New York Branch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Lost Creek Gathering Company, L.L.C.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ECT-PR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 Powder River, L.L.C.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ECT-WR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 Wind River, L.L.C.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Midstream Services, L.L.C.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North America Corp.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EPC Contractor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Merrick &amp; Company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Fort Union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Fort Union Gas Gathering, L.L.C.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H&amp;H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Holland &amp; Hart LLP, Wyoming counsel to the Company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Independent Engineer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Stone &amp; Webster Management Consultants, Inc.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Insurance Advisor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Marsh Incorporated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Jones Day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Jones, Day, Reavis &amp; Pogue, counsel to the Company and BR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MB&amp;P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Mayer, Brown &amp; Platt, counsel to the Lenders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NBILP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Intermediate Limited Partnership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NBP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NBP Energy Pipelines, L.L.C.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NCO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 Central Oil Corporation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[Northern Border Partners, L.P.]</w:t>
            </w:r>
          </w:p>
        </w:tc>
      </w:tr>
      <w:tr>
        <w:trPr>
          <w:trHeight w:val="400" w:hRule="exact"/>
        </w:trPr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Securities Intermediary</w:t>
            </w:r>
          </w:p>
        </w:tc>
        <w:tc>
          <w:tcPr>
            <w:tcW w:w="10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[___________________________]</w:t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spacing w:before="0" w:after="240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tabs>
          <w:tab w:val="clear" w:pos="720"/>
          <w:tab w:val="left" w:pos="1080" w:leader="none"/>
        </w:tabs>
        <w:spacing w:before="0" w:after="240"/>
        <w:rPr/>
      </w:pPr>
      <w:r>
        <w:rPr>
          <w:b/>
          <w:sz w:val="20"/>
        </w:rPr>
        <w:t>PART I.</w:t>
        <w:tab/>
        <w:t>PROJECT 20/20 CLOSING</w:t>
      </w:r>
      <w:r>
        <w:rPr/>
        <w:t>:</w:t>
      </w:r>
    </w:p>
    <w:tbl>
      <w:tblPr>
        <w:tblW w:w="14400" w:type="dxa"/>
        <w:jc w:val="start"/>
        <w:tblInd w:w="10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4507"/>
        <w:gridCol w:w="1354"/>
        <w:gridCol w:w="2880"/>
        <w:gridCol w:w="3326"/>
        <w:gridCol w:w="2333"/>
      </w:tblGrid>
      <w:tr>
        <w:trPr>
          <w:tblHeader w:val="true"/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DOCUMENT</w:t>
            </w:r>
          </w:p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DOC.</w:t>
            </w:r>
          </w:p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NUMBER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DEAL</w:t>
            </w:r>
          </w:p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RESPONSIBILITY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SIGNATORIES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>
              <w:rPr>
                <w:rFonts w:cs="Times New Roman Bold" w:ascii="Times New Roman Bold" w:hAnsi="Times New Roman Bold"/>
                <w:b/>
                <w:sz w:val="20"/>
              </w:rPr>
              <w:t>STATUS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29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b/>
                <w:sz w:val="20"/>
              </w:rPr>
              <w:t>BASIC DOCUMENTS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Letter of Understanding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560942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NBILP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Executed on 8/18/00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Purchase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562951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 be distributed to the Banks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Exhibits to Purchase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A - EMS Gathering System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B - Administrative Services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NBP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C - Master Services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D - Description of Specified Geographical Area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E-1 - Assignment and Assumption Agreement - EMS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571225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E-2 - Assignment and Assumption Agreement - EWR and EPR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572248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F - Seller’s Officer’s Certificate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571298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G - Guarantee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571259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ListNumber3"/>
              <w:numPr>
                <w:ilvl w:val="0"/>
                <w:numId w:val="4"/>
              </w:numPr>
              <w:ind w:hanging="0" w:start="0"/>
              <w:rPr/>
            </w:pPr>
            <w:r>
              <w:rPr/>
              <w:t>Ex. H - Purchaser’s Officer’s Certificate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571304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Schedules to Purchase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1.1 (a) - Credit Support Obligations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1.1 (b) - Existing EMS Gathering Agreements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1.1 (c) - Firm Gas Gathering Agreements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1.1 (d) - NCO Agreements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(a) - Governmental Consents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(b) - Noncontravention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(c) - Consents and Approvals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(d) - Title to Membership Interests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(g) - Capital Account Balances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(h) - Business Activities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(i) - Financial Statements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(j) - Liabilities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(k) - Absence of Certain Changes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(l) - Material Agreements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(m) - Permits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(n) - Title Matters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(o) - Condition of Property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(p) - Litigation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(q) - No Restrictions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(t) - Related Transactions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3.1 (v) - Environmental Matters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9"/>
              </w:numPr>
              <w:rPr/>
            </w:pPr>
            <w:r>
              <w:rPr/>
              <w:t>Sch. 4.5 - Preclosing Matters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Assignment and Assumption Agreements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21"/>
              </w:numPr>
              <w:ind w:hanging="360" w:start="1080" w:end="0"/>
              <w:rPr/>
            </w:pPr>
            <w:r>
              <w:rPr/>
              <w:t>Assignment and Assumption Agreement (EMS)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21"/>
              </w:numPr>
              <w:ind w:hanging="360" w:start="1080" w:end="0"/>
              <w:rPr/>
            </w:pPr>
            <w:r>
              <w:rPr/>
              <w:t>Assignment and Assumption Agreement (ECT-WR)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NBP, ECT-WR-Z, L.L.C. and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ECT-WR-B, L.L.C.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21"/>
              </w:numPr>
              <w:ind w:hanging="360" w:start="1080" w:end="0"/>
              <w:rPr/>
            </w:pPr>
            <w:r>
              <w:rPr/>
              <w:t>Assignment and Assumption Agreement (ECT-PR)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NBP, ECT-PR-Z, L.L.C. and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ECT-PR-B, L.L.C.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Master Services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Schedules to Master Services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1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2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3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4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5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6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7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8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numPr>
                <w:ilvl w:val="0"/>
                <w:numId w:val="14"/>
              </w:numPr>
              <w:ind w:hanging="360" w:start="1080" w:end="0"/>
              <w:rPr/>
            </w:pPr>
            <w:r>
              <w:rPr/>
              <w:t>Service Schedule 9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Guarantee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NBILP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8"/>
              </w:numPr>
              <w:rPr/>
            </w:pPr>
            <w:r>
              <w:rPr/>
              <w:t>Administrative Services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NBP and NBP Services Corporation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29"/>
              </w:numPr>
              <w:tabs>
                <w:tab w:val="clear" w:pos="7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CORPORATE DOCUMENTS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2"/>
              </w:numPr>
              <w:rPr/>
            </w:pPr>
            <w:r>
              <w:rPr/>
              <w:t>ECT-PR Amended and Restated Limited Liability Company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[Executed]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2"/>
              </w:numPr>
              <w:rPr/>
            </w:pPr>
            <w:r>
              <w:rPr/>
              <w:t>ECT-WR Amended and Restated Limited Liability Company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[Executed]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2"/>
              </w:numPr>
              <w:rPr/>
            </w:pPr>
            <w:r>
              <w:rPr/>
              <w:t>EMS Amended and Restated Limited Liability Company Agreement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[Executed]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29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b/>
                <w:sz w:val="20"/>
              </w:rPr>
              <w:t>OFFICER’S CERTIFICATE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5"/>
              </w:numPr>
              <w:rPr/>
            </w:pPr>
            <w:r>
              <w:rPr/>
              <w:t>ENA Officer’s Certificate (Reps and Warranties)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5"/>
              </w:numPr>
              <w:rPr/>
            </w:pPr>
            <w:r>
              <w:rPr/>
              <w:t>NBP Officer’s Certificate (Reps and Warranties)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NBP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29"/>
              </w:numPr>
              <w:tabs>
                <w:tab w:val="clear" w:pos="7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GOVERNMENTAL APPROVALS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8"/>
              </w:numPr>
              <w:rPr/>
            </w:pPr>
            <w:r>
              <w:rPr/>
              <w:t>H-S-R Filing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 &amp; NBP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29"/>
              </w:numPr>
              <w:tabs>
                <w:tab w:val="clear" w:pos="7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THIRD PARTY CONSENTS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4"/>
              </w:numPr>
              <w:rPr>
                <w:b/>
              </w:rPr>
            </w:pPr>
            <w:r>
              <w:rPr/>
              <w:t>Omnibus Consent and Termination Agreement (Fort Union Bank Group)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561958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BKB, CL and ENA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8/30/00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4"/>
              </w:numPr>
              <w:rPr/>
            </w:pPr>
            <w:r>
              <w:rPr/>
              <w:t>Omnibus Consent and Termination Agreement (Lost Creek Bank Group)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572884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Barclays, Bank NY and ENA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8/30/00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4"/>
              </w:numPr>
              <w:rPr/>
            </w:pPr>
            <w:r>
              <w:rPr/>
              <w:t>Omnibus Consent to Assignment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567364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NCO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9/11/00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4"/>
              </w:numPr>
              <w:rPr/>
            </w:pPr>
            <w:r>
              <w:rPr/>
              <w:t>Release Agreement (Company)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564474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the Company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Execution copies distributed to ENA on 9/8/00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4"/>
              </w:numPr>
              <w:rPr/>
            </w:pPr>
            <w:r>
              <w:rPr/>
              <w:t>Release Agreement (Fort Union)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562892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Fort Union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Execution copies distributed to ENA on 9/8/00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29"/>
              </w:numPr>
              <w:tabs>
                <w:tab w:val="clear" w:pos="72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OTHER CLOSING ITEMS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/>
            </w:pPr>
            <w:r>
              <w:rPr/>
              <w:t>Resolutions Authorizing Transaction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Resolutions of ECT-WR-Z, L.L.C.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Resolutions of ECT-WR-B, L.L.C.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SE Thunderbird L.P.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Resolutions of ECT-PR-Z, L.L.C.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Resolutions of ECT-PR-B, L.L.C.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ENA and SE Thunderbird L.P.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>
                <w:b/>
              </w:rPr>
            </w:pPr>
            <w:r>
              <w:rPr>
                <w:b/>
              </w:rPr>
              <w:t xml:space="preserve">[Letter Waiving </w:t>
            </w:r>
            <w:r>
              <w:rPr>
                <w:b/>
                <w:u w:val="single"/>
              </w:rPr>
              <w:t>Section 3.03</w:t>
            </w:r>
            <w:r>
              <w:rPr>
                <w:b/>
              </w:rPr>
              <w:t xml:space="preserve"> of ECT-WR Operating Agreement]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[ECT-WR-Z, L.L.C. and ECT-WR-B, L.L.C.]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>
                <w:b/>
              </w:rPr>
            </w:pPr>
            <w:r>
              <w:rPr>
                <w:b/>
              </w:rPr>
              <w:t xml:space="preserve">[Letter Waiving </w:t>
            </w:r>
            <w:r>
              <w:rPr>
                <w:b/>
                <w:u w:val="single"/>
              </w:rPr>
              <w:t>Section 3.03</w:t>
            </w:r>
            <w:r>
              <w:rPr>
                <w:b/>
              </w:rPr>
              <w:t xml:space="preserve"> of ECT-PR Operating Agreement]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[ECT-PR-Z, L.L.C. and ECT-PR-B, L.L.C.]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/>
            </w:pPr>
            <w:r>
              <w:rPr/>
              <w:t>Closing Statement (3 Business Days prior to Closing Date)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/>
            </w:pPr>
            <w:r>
              <w:rPr/>
              <w:t>Estimated Adjusted Purchase Price (by wire transfer on Closing Date)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/>
            </w:pPr>
            <w:r>
              <w:rPr/>
              <w:t>Satisfactory Proof of Substitute Credit Support of NBP to release ENA and its Affiliates from Credit Support Obligations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Assignment of Enron Corp. Guaranty to the Company dated 12/17/98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Corp., the Company and Northern Border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Sponsor Guarantee (Fort Union)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572635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BKB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8/30/00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2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Guarantee Supp. 1 (Gathering Agreement)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572688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BKB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8/30/00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2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Guarantee Supp. 2 (Debt Service Reserve)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572693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BKB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8/30/00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Sponsor Guarantee (the Company)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572238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Barclays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8/29/00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30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Guarantee Supp. 1 (Construction Completion)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572239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Barclays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8/29/00 distributed to ENA</w:t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 xml:space="preserve">Opinion of Counsel  re: Item VI.H                                            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NBP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Opinion of Counsel  re: Item VI.I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NBP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 xml:space="preserve">Northern Border Officer’s Certificate re: Item VI.H (Reps and Warranties in Section 6 of Sponsor Guarantee) 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Northern Border Officer’s Certificate re: Item VI.H (Charter Documents, Incumbency, Resolutions)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Northern Border Officer’s Certificate re: Item VI.I (Financial Statements)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6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Northern Border Officer’s Certificate re: Item VI.I (Charter Documents, Incumbency, Resolutions)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</w:t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5"/>
              </w:numPr>
              <w:rPr/>
            </w:pPr>
            <w:r>
              <w:rPr/>
              <w:t>Press Release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NBP and ENA</w:t>
            </w:r>
          </w:p>
        </w:tc>
        <w:tc>
          <w:tcPr>
            <w:tcW w:w="33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spacing w:before="0" w:after="240"/>
        <w:rPr/>
      </w:pPr>
      <w:r>
        <w:br w:type="page"/>
      </w:r>
      <w:r>
        <w:rPr/>
        <w:t>PART II.</w:t>
        <w:tab/>
        <w:t>WIND RIVER GAS GATHERING PROJECT CONVERSION:</w:t>
      </w:r>
    </w:p>
    <w:tbl>
      <w:tblPr>
        <w:tblW w:w="14398" w:type="dxa"/>
        <w:jc w:val="start"/>
        <w:tblInd w:w="100" w:type="dxa"/>
        <w:tblLayout w:type="fixed"/>
        <w:tblCellMar>
          <w:top w:w="0" w:type="dxa"/>
          <w:start w:w="100" w:type="dxa"/>
          <w:bottom w:w="0" w:type="dxa"/>
          <w:end w:w="100" w:type="dxa"/>
        </w:tblCellMar>
      </w:tblPr>
      <w:tblGrid>
        <w:gridCol w:w="4500"/>
        <w:gridCol w:w="1350"/>
        <w:gridCol w:w="2880"/>
        <w:gridCol w:w="3330"/>
        <w:gridCol w:w="2338"/>
      </w:tblGrid>
      <w:tr>
        <w:trPr>
          <w:tblHeader w:val="true"/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DOCUMENT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DEAL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RESPONSIBILITY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SIGNATORIES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b/>
                <w:sz w:val="20"/>
              </w:rPr>
              <w:t>BASIC DOCUMENTS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Term Notes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Barclays Term Note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561889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Bank NY Term Note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561911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Compressor/Dewpoint Facility Mortgage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 / H&amp;H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Security Agreement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560779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Securities Account Control Agreement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560783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Company, Barclays, and Securities Intermediary 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Pledge Agreements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ECT-WR Pledge Agreement*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554579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ECT-WR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BRTI  Pledge Agreement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561139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BRTI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Guarantee Supplements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Northern Border Guarantee Supplement NBP’s obligations under ENA Gas Gathering Agreement)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572225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Enron version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BR Guarantee Supplement (BRTI’s obligations under BRTI Gas Gathering Agreement)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561942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Northern Border Guarantee Supplement (Company’s Debt Service Reserve obligations)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572228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Northern Border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Enron version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BR Guarantee Supplement (Company’s Debt Service Reserve obligations)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562390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 and Barclays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Consent to Assignments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ECT-WR Consent to Assignment* (Administrative Services Agreement)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561115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ECT-WR, Barclays, and 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EPC Contractor Consent to Assignment (Construction Agreement)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561117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EPC Contractor, Barclays, and 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NBP Consent to Assignment (ENA Gas Gathering Agreement)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561097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>NBP</w:t>
            </w:r>
            <w:r>
              <w:rPr/>
              <w:t xml:space="preserve"> and 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Enron version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BRTI Consent to Assignment (BRTI Gas Gathering Agreement)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561108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BRTI and 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UCC-1 Financing Statements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Company (County Clerk of Sweetwater County, Wyoming)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2"/>
                <w:numId w:val="13"/>
              </w:numPr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 / H&amp;H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9/5/00; collateral description distributed 9/12/00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Company (Office of Wyoming Secretary of State)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 / H&amp;H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9/5/00; collateral description distributed 9/12/00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Company (Secretary of State of Texas)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9/5/00; collateral description distributed 9/12/00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Company (Secretary of State of Delaware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9/5/00; collateral description distributed 9/12/00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ECT-WR* (Secretary of State of Texas)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ECT-WR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8/31/00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ECT-WR* (Secretary of State of Delaware)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ECT-WR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8/31/00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BRTI (Secretary of State of Texas)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BRTI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8/31/00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BRTI (Secretary of State of Delaware)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BRTI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8/31/00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b/>
                <w:sz w:val="20"/>
              </w:rPr>
              <w:t>OFFICER’S CERTIFICATES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Company Officer’s Certificate (Reps and Warranties in Section 7 and Completion Certificate, No Default).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561239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Company Officer’s Certificate (re: Item III.Q.2)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Company Officer’s Certificate (re: Item III.Q.3)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b/>
                <w:sz w:val="20"/>
              </w:rPr>
              <w:t>OPINIONS OF COUNSEL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Opinion of Counsel to Company (Enforceability under NY law of Term Notes and Basic Documents executed on the Conversion Date)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Jones Day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 process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17"/>
              </w:numPr>
              <w:rPr/>
            </w:pPr>
            <w:r>
              <w:rPr/>
              <w:t>Opinion of Counsel to Company (Due Authorization, Execution and Delivery of Term Notes and Basic Documents executed on the Conversion Date).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212333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Outline"/>
              <w:keepNext w:val="true"/>
              <w:keepLines/>
              <w:numPr>
                <w:ilvl w:val="0"/>
                <w:numId w:val="20"/>
              </w:numPr>
              <w:tabs>
                <w:tab w:val="clear" w:pos="720"/>
              </w:tabs>
              <w:rPr>
                <w:sz w:val="20"/>
              </w:rPr>
            </w:pPr>
            <w:r>
              <w:rPr>
                <w:b/>
                <w:sz w:val="20"/>
              </w:rPr>
              <w:t>OTHER CLOSING ITEMS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keepNext w:val="true"/>
              <w:keepLines/>
              <w:numPr>
                <w:ilvl w:val="1"/>
                <w:numId w:val="23"/>
              </w:numPr>
              <w:rPr/>
            </w:pPr>
            <w:r>
              <w:rPr/>
              <w:t>Completion Certificate (5 days prior to Conversion)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565466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Company, the EPC Contractor and the Independent Engineer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Prepayment of Loans: 15% of Project Costs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BR / ENA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Amount to be determined prior to conversion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Lien Waivers or Substitute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Being discussed with EPC Contractor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EPC Contractor Lien Waiver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EPC Contractor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17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Major Subcontractors’ Lien Waivers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Title Policy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 / H&amp;H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Revised title commitment under review with H&amp;H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As-Built Survey of Treatment Facility Site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 / H&amp;H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Being discussed with EPC Contractor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Search Reports (UCC, Tax Liens, Judgments, Litigation)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 be ordered prior to conversion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Evidence of recording and filing of Compressor/Dewpoint Facility Mortgage and fixture filings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 / H&amp;H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 be obtained prior to conversion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Evidence of payment of filing, recordation, subscription and inscription fees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To be obtained prior to conversion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Initial Operating Budget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Expected from Elkhorn by the end of August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Reserves satisfactory to Independent Engineer established or Project Costs Paid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ENA/BR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Amount to be determined prior to conversion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Permitted Swap Agreements:  Amount at least equal to 75% of Term Loans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557924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-10" w:end="0"/>
              <w:rPr>
                <w:sz w:val="20"/>
              </w:rPr>
            </w:pPr>
            <w:r>
              <w:rPr>
                <w:sz w:val="20"/>
              </w:rPr>
              <w:t>Company and swap counterparty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Schedule to ISDA Master Agreement distributed to Sponsors 7/17/00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Base Case Forecast (Debt Service Coverage Ratio at least 1.35 to 1)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 process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Revised Amortization Schedule (45 days prior to Conversion)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ENA/BR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 process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Termination of Guaranty by Enron in favor of the Company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568881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and 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8/16/00 distributed to Sponsors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Termination of Guaranty by BR in favor of the Company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568887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 and Company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of 8/16/00 distributed to Sponsors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Promissory Note Cross-Receipt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565474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Company, Barclays and Banks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Draft distributed to Banks and MB&amp;P on 8/28/00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2Outline"/>
              <w:numPr>
                <w:ilvl w:val="1"/>
                <w:numId w:val="23"/>
              </w:numPr>
              <w:rPr/>
            </w:pPr>
            <w:r>
              <w:rPr/>
              <w:t>Satisfaction of Construction Period Guarantee Release Conditions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 process/to be determined</w:t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31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Occurrence of Term Conversion Date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31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Company’s Officer’s’ Certificate (all Requisite Approvals granted and reps and warranties in Section 7.07 true and correct)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A&amp;K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31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Company’s Officer’s Certificate (Insurance complying with Section 8.05 obtained, in full force and effect and no notice of cancellation)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0" w:hRule="atLeas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3Outline"/>
              <w:numPr>
                <w:ilvl w:val="2"/>
                <w:numId w:val="31"/>
              </w:numPr>
              <w:tabs>
                <w:tab w:val="clear" w:pos="720"/>
                <w:tab w:val="left" w:pos="1440" w:leader="none"/>
              </w:tabs>
              <w:rPr/>
            </w:pPr>
            <w:r>
              <w:rPr/>
              <w:t>Certificate of Insurance with evidence of payment of all premiums</w:t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BR</w:t>
            </w:r>
          </w:p>
        </w:tc>
        <w:tc>
          <w:tcPr>
            <w:tcW w:w="33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itle"/>
        <w:pageBreakBefore w:val="false"/>
        <w:spacing w:before="0" w:after="0"/>
        <w:jc w:val="start"/>
        <w:rPr>
          <w:sz w:val="16"/>
        </w:rPr>
      </w:pPr>
      <w:r>
        <w:rPr>
          <w:sz w:val="16"/>
        </w:rPr>
      </w:r>
    </w:p>
    <w:p>
      <w:pPr>
        <w:pStyle w:val="Title"/>
        <w:pageBreakBefore w:val="false"/>
        <w:spacing w:before="0" w:after="0"/>
        <w:jc w:val="start"/>
        <w:rPr>
          <w:sz w:val="16"/>
        </w:rPr>
      </w:pPr>
      <w:r>
        <w:rPr>
          <w:sz w:val="16"/>
        </w:rPr>
        <w:t>_______________</w:t>
      </w:r>
    </w:p>
    <w:p>
      <w:pPr>
        <w:pStyle w:val="Normal"/>
        <w:ind w:hanging="720" w:start="720" w:end="0"/>
        <w:rPr>
          <w:sz w:val="16"/>
        </w:rPr>
      </w:pPr>
      <w:r>
        <w:rPr>
          <w:sz w:val="16"/>
        </w:rPr>
        <w:t>*</w:t>
        <w:tab/>
        <w:t>NBP may be required to change ECT-WR’s name necessitating minor changes in these documents.</w:t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6" w:footer="720" w:bottom="776"/>
      <w:pgNumType w:start="2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TypographicSymbols">
    <w:charset w:val="00" w:characterSet="windows-1252"/>
    <w:family w:val="auto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7110" w:leader="none"/>
        <w:tab w:val="right" w:pos="8640" w:leader="none"/>
      </w:tabs>
      <w:rPr/>
    </w:pPr>
    <w:r>
      <w:rPr/>
      <w:t>572104-3</w:t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572104-3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7110" w:leader="none"/>
        <w:tab w:val="right" w:pos="8640" w:leader="none"/>
      </w:tabs>
      <w:rPr/>
    </w:pPr>
    <w:r>
      <w:rPr/>
      <w:t>572104-3</w:t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7200" w:leader="none"/>
        <w:tab w:val="right" w:pos="8640" w:leader="none"/>
      </w:tabs>
      <w:rPr/>
    </w:pPr>
    <w:r>
      <w:rPr/>
      <w:t>572104-3</w:t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A&amp;K Draft of 9/13/00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A&amp;K Draft of 9/13/00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1800"/>
        </w:tabs>
        <w:ind w:start="720" w:firstLine="720"/>
      </w:pPr>
    </w:lvl>
    <w:lvl w:ilvl="1">
      <w:start w:val="1"/>
      <w:pStyle w:val="Heading2"/>
      <w:numFmt w:val="lowerLetter"/>
      <w:lvlText w:val="(%2)"/>
      <w:lvlJc w:val="start"/>
      <w:pPr>
        <w:tabs>
          <w:tab w:val="num" w:pos="2520"/>
        </w:tabs>
        <w:ind w:start="1440" w:firstLine="720"/>
      </w:pPr>
    </w:lvl>
    <w:lvl w:ilvl="2">
      <w:start w:val="1"/>
      <w:pStyle w:val="Heading3"/>
      <w:numFmt w:val="lowerRoman"/>
      <w:lvlText w:val="(%3)"/>
      <w:lvlJc w:val="start"/>
      <w:pPr>
        <w:tabs>
          <w:tab w:val="num" w:pos="3600"/>
        </w:tabs>
        <w:ind w:start="2160" w:firstLine="720"/>
      </w:pPr>
    </w:lvl>
    <w:lvl w:ilvl="3">
      <w:start w:val="1"/>
      <w:pStyle w:val="Heading4"/>
      <w:numFmt w:val="upperLetter"/>
      <w:lvlText w:val="%4."/>
      <w:lvlJc w:val="start"/>
      <w:pPr>
        <w:tabs>
          <w:tab w:val="num" w:pos="3960"/>
        </w:tabs>
        <w:ind w:start="2880" w:firstLine="720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</w:lvl>
    <w:lvl w:ilvl="8">
      <w:start w:val="1"/>
      <w:pStyle w:val="Heading9"/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  <w:sz w:val="28"/>
        <w:color w:val="auto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lowerLetter"/>
      <w:lvlText w:val="(%2)"/>
      <w:lvlJc w:val="start"/>
      <w:pPr>
        <w:tabs>
          <w:tab w:val="num" w:pos="1440"/>
        </w:tabs>
        <w:ind w:start="1440" w:hanging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2">
      <w:start w:val="1"/>
      <w:numFmt w:val="lowerRoman"/>
      <w:lvlText w:val="(%3)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(%4)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3960"/>
        </w:tabs>
        <w:ind w:start="2880" w:firstLine="72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4680"/>
        </w:tabs>
        <w:ind w:start="3600" w:firstLine="72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5400"/>
        </w:tabs>
        <w:ind w:start="4320" w:firstLine="72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6120"/>
        </w:tabs>
        <w:ind w:start="5040" w:firstLine="720"/>
      </w:pPr>
      <w:rPr/>
    </w:lvl>
    <w:lvl w:ilvl="8">
      <w:start w:val="1"/>
      <w:numFmt w:val="bullet"/>
      <w:lvlText w:val=""/>
      <w:lvlJc w:val="start"/>
      <w:pPr>
        <w:tabs>
          <w:tab w:val="num" w:pos="2880"/>
        </w:tabs>
        <w:ind w:start="2880" w:hanging="720"/>
      </w:pPr>
      <w:rPr>
        <w:rFonts w:ascii="Symbol" w:hAnsi="Symbol" w:cs="Symbol" w:hint="default"/>
        <w:sz w:val="28"/>
        <w:color w:val="000000"/>
      </w:rPr>
    </w:lvl>
  </w:abstractNum>
  <w:abstractNum w:abstractNumId="13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1440" w:hanging="720"/>
      </w:pPr>
    </w:lvl>
    <w:lvl w:ilvl="2">
      <w:start w:val="1"/>
      <w:numFmt w:val="decimal"/>
      <w:lvlText w:val="%3."/>
      <w:lvlJc w:val="start"/>
      <w:pPr>
        <w:tabs>
          <w:tab w:val="num" w:pos="720"/>
        </w:tabs>
        <w:ind w:start="2160" w:hanging="720"/>
      </w:pPr>
    </w:lvl>
    <w:lvl w:ilvl="3">
      <w:start w:val="1"/>
      <w:numFmt w:val="lowerLetter"/>
      <w:lvlText w:val="%4)"/>
      <w:lvlJc w:val="start"/>
      <w:pPr>
        <w:tabs>
          <w:tab w:val="num" w:pos="72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72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72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72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72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720"/>
        </w:tabs>
        <w:ind w:start="6480" w:hanging="720"/>
      </w:p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16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152"/>
        </w:tabs>
        <w:ind w:start="1152" w:hanging="432"/>
      </w:pPr>
      <w:rPr>
        <w:sz w:val="20"/>
        <w:i w:val="false"/>
        <w:u w:val="none"/>
        <w:b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17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152"/>
        </w:tabs>
        <w:ind w:start="1152" w:hanging="432"/>
      </w:pPr>
      <w:rPr>
        <w:sz w:val="20"/>
        <w:i w:val="false"/>
        <w:u w:val="none"/>
        <w:b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18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0">
    <w:lvl w:ilvl="0">
      <w:start w:val="3"/>
      <w:numFmt w:val="upperRoman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upperLetter"/>
      <w:lvlText w:val="%2."/>
      <w:lvlJc w:val="start"/>
      <w:pPr>
        <w:tabs>
          <w:tab w:val="num" w:pos="0"/>
        </w:tabs>
        <w:ind w:start="1440" w:hanging="72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2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3">
    <w:lvl w:ilvl="0">
      <w:start w:val="3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152"/>
        </w:tabs>
        <w:ind w:start="1152" w:hanging="432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4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  <w:rPr>
        <w:sz w:val="20"/>
        <w:i w:val="false"/>
        <w:u w:val="none"/>
        <w:b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5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  <w:rPr>
        <w:sz w:val="20"/>
        <w:i w:val="false"/>
        <w:u w:val="none"/>
        <w:b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270" w:firstLine="270"/>
      </w:pPr>
      <w:rPr>
        <w:rFonts w:ascii="Symbol" w:hAnsi="Symbol" w:cs="Symbol" w:hint="default"/>
        <w:color w:val="auto"/>
      </w:rPr>
    </w:lvl>
    <w:lvl w:ilvl="1">
      <w:start w:val="1"/>
      <w:numFmt w:val="none"/>
      <w:suff w:val="nothing"/>
      <w:lvlText w:val=""/>
      <w:lvlJc w:val="start"/>
      <w:pPr>
        <w:tabs>
          <w:tab w:val="num" w:pos="0"/>
        </w:tabs>
        <w:ind w:start="540" w:firstLine="270"/>
      </w:pPr>
      <w:rPr>
        <w:rFonts w:ascii="WP TypographicSymbols" w:hAnsi="WP TypographicSymbols" w:cs="WP TypographicSymbols"/>
      </w:rPr>
    </w:lvl>
    <w:lvl w:ilvl="2">
      <w:start w:val="1"/>
      <w:numFmt w:val="none"/>
      <w:suff w:val="nothing"/>
      <w:lvlText w:val=""/>
      <w:lvlJc w:val="start"/>
      <w:pPr>
        <w:tabs>
          <w:tab w:val="num" w:pos="0"/>
        </w:tabs>
        <w:ind w:start="810" w:firstLine="270"/>
      </w:pPr>
      <w:rPr>
        <w:rFonts w:ascii="WP TypographicSymbols" w:hAnsi="WP TypographicSymbols" w:cs="WP TypographicSymbols"/>
      </w:rPr>
    </w:lvl>
    <w:lvl w:ilvl="3">
      <w:start w:val="1"/>
      <w:numFmt w:val="none"/>
      <w:suff w:val="nothing"/>
      <w:lvlText w:val=""/>
      <w:lvlJc w:val="start"/>
      <w:pPr>
        <w:tabs>
          <w:tab w:val="num" w:pos="0"/>
        </w:tabs>
        <w:ind w:start="1080" w:firstLine="270"/>
      </w:pPr>
      <w:rPr>
        <w:rFonts w:ascii="WP TypographicSymbols" w:hAnsi="WP TypographicSymbols" w:cs="WP TypographicSymbols"/>
      </w:rPr>
    </w:lvl>
    <w:lvl w:ilvl="4">
      <w:start w:val="1"/>
      <w:numFmt w:val="none"/>
      <w:suff w:val="nothing"/>
      <w:lvlText w:val=""/>
      <w:lvlJc w:val="start"/>
      <w:pPr>
        <w:tabs>
          <w:tab w:val="num" w:pos="0"/>
        </w:tabs>
        <w:ind w:start="1350" w:firstLine="270"/>
      </w:pPr>
      <w:rPr>
        <w:rFonts w:ascii="WP TypographicSymbols" w:hAnsi="WP TypographicSymbols" w:cs="WP TypographicSymbols"/>
      </w:rPr>
    </w:lvl>
    <w:lvl w:ilvl="5">
      <w:start w:val="1"/>
      <w:numFmt w:val="none"/>
      <w:suff w:val="nothing"/>
      <w:lvlText w:val=""/>
      <w:lvlJc w:val="start"/>
      <w:pPr>
        <w:tabs>
          <w:tab w:val="num" w:pos="0"/>
        </w:tabs>
        <w:ind w:start="1620" w:firstLine="270"/>
      </w:pPr>
      <w:rPr>
        <w:rFonts w:ascii="WP TypographicSymbols" w:hAnsi="WP TypographicSymbols" w:cs="WP TypographicSymbols"/>
      </w:rPr>
    </w:lvl>
    <w:lvl w:ilvl="6">
      <w:start w:val="1"/>
      <w:numFmt w:val="none"/>
      <w:suff w:val="nothing"/>
      <w:lvlText w:val=""/>
      <w:lvlJc w:val="start"/>
      <w:pPr>
        <w:tabs>
          <w:tab w:val="num" w:pos="0"/>
        </w:tabs>
        <w:ind w:start="1890" w:firstLine="270"/>
      </w:pPr>
      <w:rPr>
        <w:rFonts w:ascii="WP TypographicSymbols" w:hAnsi="WP TypographicSymbols" w:cs="WP TypographicSymbols"/>
      </w:rPr>
    </w:lvl>
    <w:lvl w:ilvl="7">
      <w:start w:val="1"/>
      <w:numFmt w:val="none"/>
      <w:suff w:val="nothing"/>
      <w:lvlText w:val=""/>
      <w:lvlJc w:val="start"/>
      <w:pPr>
        <w:tabs>
          <w:tab w:val="num" w:pos="0"/>
        </w:tabs>
        <w:ind w:start="2160" w:firstLine="270"/>
      </w:pPr>
      <w:rPr>
        <w:rFonts w:ascii="WP TypographicSymbols" w:hAnsi="WP TypographicSymbols" w:cs="WP TypographicSymbols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2430" w:firstLine="270"/>
      </w:pPr>
    </w:lvl>
  </w:abstractNum>
  <w:abstractNum w:abstractNumId="27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Letter"/>
      <w:lvlText w:val="%3."/>
      <w:lvlJc w:val="start"/>
      <w:pPr>
        <w:tabs>
          <w:tab w:val="num" w:pos="1512"/>
        </w:tabs>
        <w:ind w:start="1440" w:hanging="288"/>
      </w:pPr>
      <w:rPr>
        <w:sz w:val="20"/>
        <w:i w:val="false"/>
        <w:u w:val="none"/>
        <w:b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8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0" w:firstLine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29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0" w:firstLine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720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30">
    <w:lvl w:ilvl="0">
      <w:start w:val="1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Letter"/>
      <w:lvlText w:val="%3."/>
      <w:lvlJc w:val="start"/>
      <w:pPr>
        <w:tabs>
          <w:tab w:val="num" w:pos="1512"/>
        </w:tabs>
        <w:ind w:start="1440" w:hanging="288"/>
      </w:pPr>
      <w:rPr>
        <w:sz w:val="20"/>
        <w:i w:val="false"/>
        <w:u w:val="none"/>
        <w:b w:val="false"/>
        <w:rFonts w:ascii="Times New Roman" w:hAnsi="Times New Roman" w:cs="Times New Roman"/>
        <w:color w:val="auto"/>
      </w:r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abstractNum w:abstractNumId="31">
    <w:lvl w:ilvl="0">
      <w:start w:val="3"/>
      <w:numFmt w:val="upperRoman"/>
      <w:lvlText w:val="%1.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1">
      <w:start w:val="2"/>
      <w:numFmt w:val="upperLetter"/>
      <w:lvlText w:val="%2."/>
      <w:lvlJc w:val="start"/>
      <w:pPr>
        <w:tabs>
          <w:tab w:val="num" w:pos="720"/>
        </w:tabs>
        <w:ind w:start="720" w:hanging="360"/>
      </w:pPr>
    </w:lvl>
    <w:lvl w:ilvl="2">
      <w:start w:val="1"/>
      <w:numFmt w:val="decimal"/>
      <w:lvlText w:val="%3."/>
      <w:lvlJc w:val="start"/>
      <w:pPr>
        <w:tabs>
          <w:tab w:val="num" w:pos="1152"/>
        </w:tabs>
        <w:ind w:start="1152" w:hanging="432"/>
      </w:pPr>
    </w:lvl>
    <w:lvl w:ilvl="3">
      <w:start w:val="1"/>
      <w:numFmt w:val="lowerLetter"/>
      <w:lvlText w:val="%4)"/>
      <w:lvlJc w:val="start"/>
      <w:pPr>
        <w:tabs>
          <w:tab w:val="num" w:pos="0"/>
        </w:tabs>
        <w:ind w:start="2880" w:hanging="72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3600" w:hanging="720"/>
      </w:pPr>
    </w:lvl>
    <w:lvl w:ilvl="5">
      <w:start w:val="1"/>
      <w:numFmt w:val="lowerLetter"/>
      <w:lvlText w:val="(%6)"/>
      <w:lvlJc w:val="start"/>
      <w:pPr>
        <w:tabs>
          <w:tab w:val="num" w:pos="0"/>
        </w:tabs>
        <w:ind w:start="4320" w:hanging="720"/>
      </w:pPr>
    </w:lvl>
    <w:lvl w:ilvl="6">
      <w:start w:val="1"/>
      <w:numFmt w:val="lowerRoman"/>
      <w:lvlText w:val="(%7)"/>
      <w:lvlJc w:val="start"/>
      <w:pPr>
        <w:tabs>
          <w:tab w:val="num" w:pos="0"/>
        </w:tabs>
        <w:ind w:start="5040" w:hanging="720"/>
      </w:pPr>
    </w:lvl>
    <w:lvl w:ilvl="7">
      <w:start w:val="1"/>
      <w:numFmt w:val="lowerLetter"/>
      <w:lvlText w:val="(%8)"/>
      <w:lvlJc w:val="start"/>
      <w:pPr>
        <w:tabs>
          <w:tab w:val="num" w:pos="0"/>
        </w:tabs>
        <w:ind w:start="5760" w:hanging="720"/>
      </w:pPr>
    </w:lvl>
    <w:lvl w:ilvl="8">
      <w:start w:val="1"/>
      <w:numFmt w:val="lowerRoman"/>
      <w:lvlText w:val="(%9)"/>
      <w:lvlJc w:val="start"/>
      <w:pPr>
        <w:tabs>
          <w:tab w:val="num" w:pos="0"/>
        </w:tabs>
        <w:ind w:star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Heading"/>
    <w:next w:val="Normal"/>
    <w:qFormat/>
    <w:pPr>
      <w:numPr>
        <w:ilvl w:val="0"/>
        <w:numId w:val="1"/>
      </w:numPr>
      <w:tabs>
        <w:tab w:val="clear" w:pos="720"/>
      </w:tabs>
      <w:spacing w:before="0" w:after="0"/>
      <w:ind w:hanging="720" w:start="1440" w:end="0"/>
      <w:jc w:val="start"/>
      <w:outlineLvl w:val="0"/>
    </w:pPr>
    <w:rPr>
      <w:sz w:val="20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tabs>
        <w:tab w:val="clear" w:pos="720"/>
      </w:tabs>
      <w:outlineLvl w:val="1"/>
    </w:pPr>
    <w:rPr/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tabs>
        <w:tab w:val="clear" w:pos="720"/>
      </w:tabs>
      <w:outlineLvl w:val="2"/>
    </w:pPr>
    <w:rPr/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tabs>
        <w:tab w:val="clear" w:pos="720"/>
      </w:tabs>
      <w:outlineLvl w:val="3"/>
    </w:pPr>
    <w:rPr/>
  </w:style>
  <w:style w:type="paragraph" w:styleId="Heading5">
    <w:name w:val="heading 5"/>
    <w:basedOn w:val="Heading"/>
    <w:next w:val="Normal"/>
    <w:qFormat/>
    <w:pPr>
      <w:numPr>
        <w:ilvl w:val="4"/>
        <w:numId w:val="1"/>
      </w:numPr>
      <w:tabs>
        <w:tab w:val="clear" w:pos="720"/>
      </w:tabs>
      <w:outlineLvl w:val="4"/>
    </w:pPr>
    <w:rPr/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tabs>
        <w:tab w:val="clear" w:pos="720"/>
      </w:tabs>
      <w:outlineLvl w:val="5"/>
    </w:pPr>
    <w:rPr/>
  </w:style>
  <w:style w:type="paragraph" w:styleId="Heading7">
    <w:name w:val="heading 7"/>
    <w:basedOn w:val="Heading"/>
    <w:next w:val="Normal"/>
    <w:qFormat/>
    <w:pPr>
      <w:numPr>
        <w:ilvl w:val="6"/>
        <w:numId w:val="1"/>
      </w:numPr>
      <w:tabs>
        <w:tab w:val="clear" w:pos="720"/>
      </w:tabs>
      <w:outlineLvl w:val="6"/>
    </w:pPr>
    <w:rPr/>
  </w:style>
  <w:style w:type="paragraph" w:styleId="Heading8">
    <w:name w:val="heading 8"/>
    <w:basedOn w:val="Heading"/>
    <w:next w:val="Normal"/>
    <w:qFormat/>
    <w:pPr>
      <w:numPr>
        <w:ilvl w:val="7"/>
        <w:numId w:val="1"/>
      </w:numPr>
      <w:tabs>
        <w:tab w:val="clear" w:pos="720"/>
      </w:tabs>
      <w:outlineLvl w:val="7"/>
    </w:pPr>
    <w:rPr/>
  </w:style>
  <w:style w:type="paragraph" w:styleId="Heading9">
    <w:name w:val="heading 9"/>
    <w:basedOn w:val="Heading"/>
    <w:next w:val="Normal"/>
    <w:qFormat/>
    <w:pPr>
      <w:numPr>
        <w:ilvl w:val="8"/>
        <w:numId w:val="1"/>
      </w:numPr>
      <w:tabs>
        <w:tab w:val="clear" w:pos="720"/>
      </w:tabs>
      <w:outlineLvl w:val="8"/>
    </w:pPr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WP TypographicSymbols" w:hAnsi="WP TypographicSymbols" w:cs="WP TypographicSymbols"/>
    </w:rPr>
  </w:style>
  <w:style w:type="character" w:styleId="WW8Num13z0">
    <w:name w:val="WW8Num1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3z2">
    <w:name w:val="WW8Num13z2"/>
    <w:qFormat/>
    <w:rPr/>
  </w:style>
  <w:style w:type="character" w:styleId="WW8Num13z8">
    <w:name w:val="WW8Num13z8"/>
    <w:qFormat/>
    <w:rPr>
      <w:rFonts w:ascii="Symbol" w:hAnsi="Symbol" w:cs="Symbol"/>
      <w:color w:val="000000"/>
      <w:sz w:val="28"/>
    </w:rPr>
  </w:style>
  <w:style w:type="character" w:styleId="WW8Num17z0">
    <w:name w:val="WW8Num17z0"/>
    <w:qFormat/>
    <w:rPr/>
  </w:style>
  <w:style w:type="character" w:styleId="WW8Num17z1">
    <w:name w:val="WW8Num17z1"/>
    <w:qFormat/>
    <w:rPr>
      <w:rFonts w:ascii="Times New Roman" w:hAnsi="Times New Roman" w:cs="Times New Roman"/>
      <w:b w:val="false"/>
      <w:i w:val="false"/>
      <w:sz w:val="22"/>
    </w:rPr>
  </w:style>
  <w:style w:type="character" w:styleId="WW8Num19z0">
    <w:name w:val="WW8Num19z0"/>
    <w:qFormat/>
    <w:rPr>
      <w:rFonts w:ascii="WP TypographicSymbols" w:hAnsi="WP TypographicSymbols" w:cs="WP TypographicSymbols"/>
    </w:rPr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2z0">
    <w:name w:val="WW8Num22z0"/>
    <w:qFormat/>
    <w:rPr>
      <w:rFonts w:ascii="WP TypographicSymbols" w:hAnsi="WP TypographicSymbols" w:cs="WP TypographicSymbols"/>
    </w:rPr>
  </w:style>
  <w:style w:type="character" w:styleId="WW8Num23z0">
    <w:name w:val="WW8Num2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4z0">
    <w:name w:val="WW8Num24z0"/>
    <w:qFormat/>
    <w:rPr>
      <w:rFonts w:ascii="WP TypographicSymbols" w:hAnsi="WP TypographicSymbols" w:cs="WP TypographicSymbols"/>
    </w:rPr>
  </w:style>
  <w:style w:type="character" w:styleId="WW8Num25z0">
    <w:name w:val="WW8Num25z0"/>
    <w:qFormat/>
    <w:rPr>
      <w:rFonts w:ascii="WP TypographicSymbols" w:hAnsi="WP TypographicSymbols" w:cs="WP TypographicSymbols"/>
    </w:rPr>
  </w:style>
  <w:style w:type="character" w:styleId="WW8Num26z0">
    <w:name w:val="WW8Num2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7z0">
    <w:name w:val="WW8Num27z0"/>
    <w:qFormat/>
    <w:rPr>
      <w:rFonts w:ascii="WP TypographicSymbols" w:hAnsi="WP TypographicSymbols" w:cs="WP TypographicSymbols"/>
    </w:rPr>
  </w:style>
  <w:style w:type="character" w:styleId="WW8Num29z0">
    <w:name w:val="WW8Num29z0"/>
    <w:qFormat/>
    <w:rPr>
      <w:rFonts w:ascii="WP TypographicSymbols" w:hAnsi="WP TypographicSymbols" w:cs="WP TypographicSymbols"/>
    </w:rPr>
  </w:style>
  <w:style w:type="character" w:styleId="WW8Num30z0">
    <w:name w:val="WW8Num3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2z0">
    <w:name w:val="WW8Num32z0"/>
    <w:qFormat/>
    <w:rPr>
      <w:rFonts w:ascii="WP TypographicSymbols" w:hAnsi="WP TypographicSymbols" w:cs="WP TypographicSymbols"/>
    </w:rPr>
  </w:style>
  <w:style w:type="character" w:styleId="WW8Num33z0">
    <w:name w:val="WW8Num3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3z1">
    <w:name w:val="WW8Num33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35z0">
    <w:name w:val="WW8Num35z0"/>
    <w:qFormat/>
    <w:rPr>
      <w:rFonts w:ascii="WP TypographicSymbols" w:hAnsi="WP TypographicSymbols" w:cs="WP TypographicSymbols"/>
    </w:rPr>
  </w:style>
  <w:style w:type="character" w:styleId="WW8Num36z0">
    <w:name w:val="WW8Num36z0"/>
    <w:qFormat/>
    <w:rPr>
      <w:rFonts w:ascii="WP TypographicSymbols" w:hAnsi="WP TypographicSymbols" w:cs="WP TypographicSymbols"/>
    </w:rPr>
  </w:style>
  <w:style w:type="character" w:styleId="WW8Num39z0">
    <w:name w:val="WW8Num39z0"/>
    <w:qFormat/>
    <w:rPr>
      <w:rFonts w:ascii="WP TypographicSymbols" w:hAnsi="WP TypographicSymbols" w:cs="WP TypographicSymbols"/>
    </w:rPr>
  </w:style>
  <w:style w:type="character" w:styleId="WW8Num41z0">
    <w:name w:val="WW8Num41z0"/>
    <w:qFormat/>
    <w:rPr>
      <w:rFonts w:ascii="WP TypographicSymbols" w:hAnsi="WP TypographicSymbols" w:cs="WP TypographicSymbols"/>
    </w:rPr>
  </w:style>
  <w:style w:type="character" w:styleId="WW8Num42z0">
    <w:name w:val="WW8Num4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42z1">
    <w:name w:val="WW8Num42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44z2">
    <w:name w:val="WW8Num44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45z0">
    <w:name w:val="WW8Num45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45z2">
    <w:name w:val="WW8Num45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46z0">
    <w:name w:val="WW8Num4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46z2">
    <w:name w:val="WW8Num46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47z3">
    <w:name w:val="WW8Num47z3"/>
    <w:qFormat/>
    <w:rPr/>
  </w:style>
  <w:style w:type="character" w:styleId="WW8Num47z8">
    <w:name w:val="WW8Num47z8"/>
    <w:qFormat/>
    <w:rPr>
      <w:rFonts w:ascii="Symbol" w:hAnsi="Symbol" w:cs="Symbol"/>
      <w:color w:val="auto"/>
      <w:sz w:val="28"/>
    </w:rPr>
  </w:style>
  <w:style w:type="character" w:styleId="WW8Num50z0">
    <w:name w:val="WW8Num50z0"/>
    <w:qFormat/>
    <w:rPr>
      <w:b w:val="false"/>
    </w:rPr>
  </w:style>
  <w:style w:type="character" w:styleId="WW8Num51z3">
    <w:name w:val="WW8Num51z3"/>
    <w:qFormat/>
    <w:rPr/>
  </w:style>
  <w:style w:type="character" w:styleId="WW8Num51z8">
    <w:name w:val="WW8Num51z8"/>
    <w:qFormat/>
    <w:rPr>
      <w:rFonts w:ascii="Symbol" w:hAnsi="Symbol" w:cs="Symbol"/>
      <w:color w:val="auto"/>
      <w:sz w:val="28"/>
    </w:rPr>
  </w:style>
  <w:style w:type="character" w:styleId="WW8Num52z0">
    <w:name w:val="WW8Num52z0"/>
    <w:qFormat/>
    <w:rPr>
      <w:rFonts w:ascii="WP TypographicSymbols" w:hAnsi="WP TypographicSymbols" w:cs="WP TypographicSymbols"/>
    </w:rPr>
  </w:style>
  <w:style w:type="character" w:styleId="WW8Num53z0">
    <w:name w:val="WW8Num53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57z0">
    <w:name w:val="WW8Num57z0"/>
    <w:qFormat/>
    <w:rPr>
      <w:rFonts w:ascii="WP TypographicSymbols" w:hAnsi="WP TypographicSymbols" w:cs="WP TypographicSymbols"/>
    </w:rPr>
  </w:style>
  <w:style w:type="character" w:styleId="WW8Num58z0">
    <w:name w:val="WW8Num5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0z0">
    <w:name w:val="WW8Num60z0"/>
    <w:qFormat/>
    <w:rPr>
      <w:rFonts w:ascii="WP TypographicSymbols" w:hAnsi="WP TypographicSymbols" w:cs="WP TypographicSymbols"/>
    </w:rPr>
  </w:style>
  <w:style w:type="character" w:styleId="WW8Num62z0">
    <w:name w:val="WW8Num6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2z2">
    <w:name w:val="WW8Num62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63z0">
    <w:name w:val="WW8Num63z0"/>
    <w:qFormat/>
    <w:rPr>
      <w:rFonts w:ascii="WP TypographicSymbols" w:hAnsi="WP TypographicSymbols" w:cs="WP TypographicSymbols"/>
    </w:rPr>
  </w:style>
  <w:style w:type="character" w:styleId="WW8Num64z0">
    <w:name w:val="WW8Num64z0"/>
    <w:qFormat/>
    <w:rPr>
      <w:rFonts w:ascii="WP TypographicSymbols" w:hAnsi="WP TypographicSymbols" w:cs="WP TypographicSymbols"/>
    </w:rPr>
  </w:style>
  <w:style w:type="character" w:styleId="WW8Num65z0">
    <w:name w:val="WW8Num65z0"/>
    <w:qFormat/>
    <w:rPr>
      <w:rFonts w:ascii="WP TypographicSymbols" w:hAnsi="WP TypographicSymbols" w:cs="WP TypographicSymbols"/>
    </w:rPr>
  </w:style>
  <w:style w:type="character" w:styleId="WW8Num66z0">
    <w:name w:val="WW8Num6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7z0">
    <w:name w:val="WW8Num6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69z0">
    <w:name w:val="WW8Num69z0"/>
    <w:qFormat/>
    <w:rPr>
      <w:rFonts w:ascii="WP TypographicSymbols" w:hAnsi="WP TypographicSymbols" w:cs="WP TypographicSymbols"/>
    </w:rPr>
  </w:style>
  <w:style w:type="character" w:styleId="WW8Num71z0">
    <w:name w:val="WW8Num71z0"/>
    <w:qFormat/>
    <w:rPr>
      <w:rFonts w:ascii="WP TypographicSymbols" w:hAnsi="WP TypographicSymbols" w:cs="WP TypographicSymbols"/>
    </w:rPr>
  </w:style>
  <w:style w:type="character" w:styleId="WW8Num72z0">
    <w:name w:val="WW8Num7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72z1">
    <w:name w:val="WW8Num72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74z0">
    <w:name w:val="WW8Num74z0"/>
    <w:qFormat/>
    <w:rPr>
      <w:rFonts w:ascii="WP TypographicSymbols" w:hAnsi="WP TypographicSymbols" w:cs="WP TypographicSymbols"/>
    </w:rPr>
  </w:style>
  <w:style w:type="character" w:styleId="WW8Num75z3">
    <w:name w:val="WW8Num75z3"/>
    <w:qFormat/>
    <w:rPr/>
  </w:style>
  <w:style w:type="character" w:styleId="WW8Num75z8">
    <w:name w:val="WW8Num75z8"/>
    <w:qFormat/>
    <w:rPr>
      <w:rFonts w:ascii="Symbol" w:hAnsi="Symbol" w:cs="Symbol"/>
      <w:color w:val="auto"/>
      <w:sz w:val="28"/>
    </w:rPr>
  </w:style>
  <w:style w:type="character" w:styleId="WW8Num76z0">
    <w:name w:val="WW8Num7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76z1">
    <w:name w:val="WW8Num76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77z0">
    <w:name w:val="WW8Num7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77z1">
    <w:name w:val="WW8Num77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78z0">
    <w:name w:val="WW8Num78z0"/>
    <w:qFormat/>
    <w:rPr>
      <w:rFonts w:ascii="WP TypographicSymbols" w:hAnsi="WP TypographicSymbols" w:cs="WP TypographicSymbols"/>
    </w:rPr>
  </w:style>
  <w:style w:type="character" w:styleId="WW8Num79z0">
    <w:name w:val="WW8Num79z0"/>
    <w:qFormat/>
    <w:rPr>
      <w:rFonts w:ascii="WP TypographicSymbols" w:hAnsi="WP TypographicSymbols" w:cs="WP TypographicSymbols"/>
    </w:rPr>
  </w:style>
  <w:style w:type="character" w:styleId="WW8Num80z0">
    <w:name w:val="WW8Num80z0"/>
    <w:qFormat/>
    <w:rPr>
      <w:rFonts w:ascii="Symbol" w:hAnsi="Symbol" w:cs="Symbol"/>
      <w:color w:val="auto"/>
    </w:rPr>
  </w:style>
  <w:style w:type="character" w:styleId="WW8Num80z1">
    <w:name w:val="WW8Num80z1"/>
    <w:qFormat/>
    <w:rPr>
      <w:rFonts w:ascii="WP TypographicSymbols" w:hAnsi="WP TypographicSymbols" w:cs="WP TypographicSymbols"/>
    </w:rPr>
  </w:style>
  <w:style w:type="character" w:styleId="WW8Num81z0">
    <w:name w:val="WW8Num8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82z0">
    <w:name w:val="WW8Num82z0"/>
    <w:qFormat/>
    <w:rPr>
      <w:rFonts w:ascii="WP TypographicSymbols" w:hAnsi="WP TypographicSymbols" w:cs="WP TypographicSymbols"/>
    </w:rPr>
  </w:style>
  <w:style w:type="character" w:styleId="WW8Num83z0">
    <w:name w:val="WW8Num83z0"/>
    <w:qFormat/>
    <w:rPr>
      <w:rFonts w:ascii="WP TypographicSymbols" w:hAnsi="WP TypographicSymbols" w:cs="WP TypographicSymbols"/>
    </w:rPr>
  </w:style>
  <w:style w:type="character" w:styleId="WW8Num84z0">
    <w:name w:val="WW8Num84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84z2">
    <w:name w:val="WW8Num84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85z1">
    <w:name w:val="WW8Num85z1"/>
    <w:qFormat/>
    <w:rPr>
      <w:rFonts w:ascii="Times New Roman" w:hAnsi="Times New Roman" w:cs="Times New Roman"/>
      <w:b w:val="false"/>
      <w:i w:val="false"/>
      <w:sz w:val="22"/>
    </w:rPr>
  </w:style>
  <w:style w:type="character" w:styleId="WW8Num86z0">
    <w:name w:val="WW8Num86z0"/>
    <w:qFormat/>
    <w:rPr>
      <w:b w:val="false"/>
    </w:rPr>
  </w:style>
  <w:style w:type="character" w:styleId="WW8Num87z0">
    <w:name w:val="WW8Num87z0"/>
    <w:qFormat/>
    <w:rPr>
      <w:rFonts w:ascii="WP TypographicSymbols" w:hAnsi="WP TypographicSymbols" w:cs="WP TypographicSymbols"/>
    </w:rPr>
  </w:style>
  <w:style w:type="character" w:styleId="WW8Num88z0">
    <w:name w:val="WW8Num88z0"/>
    <w:qFormat/>
    <w:rPr>
      <w:rFonts w:ascii="WP TypographicSymbols" w:hAnsi="WP TypographicSymbols" w:cs="WP TypographicSymbols"/>
    </w:rPr>
  </w:style>
  <w:style w:type="character" w:styleId="WW8Num90z0">
    <w:name w:val="WW8Num90z0"/>
    <w:qFormat/>
    <w:rPr>
      <w:rFonts w:ascii="WP TypographicSymbols" w:hAnsi="WP TypographicSymbols" w:cs="WP TypographicSymbols"/>
    </w:rPr>
  </w:style>
  <w:style w:type="character" w:styleId="WW8Num91z0">
    <w:name w:val="WW8Num91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92z0">
    <w:name w:val="WW8Num92z0"/>
    <w:qFormat/>
    <w:rPr>
      <w:rFonts w:ascii="WP TypographicSymbols" w:hAnsi="WP TypographicSymbols" w:cs="WP TypographicSymbols"/>
    </w:rPr>
  </w:style>
  <w:style w:type="character" w:styleId="WW8Num96z0">
    <w:name w:val="WW8Num96z0"/>
    <w:qFormat/>
    <w:rPr>
      <w:rFonts w:ascii="WP TypographicSymbols" w:hAnsi="WP TypographicSymbols" w:cs="WP TypographicSymbols"/>
    </w:rPr>
  </w:style>
  <w:style w:type="character" w:styleId="WW8Num97z0">
    <w:name w:val="WW8Num9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98z0">
    <w:name w:val="WW8Num98z0"/>
    <w:qFormat/>
    <w:rPr>
      <w:rFonts w:ascii="WP TypographicSymbols" w:hAnsi="WP TypographicSymbols" w:cs="WP TypographicSymbols"/>
    </w:rPr>
  </w:style>
  <w:style w:type="character" w:styleId="WW8Num99z0">
    <w:name w:val="WW8Num99z0"/>
    <w:qFormat/>
    <w:rPr>
      <w:rFonts w:ascii="WP TypographicSymbols" w:hAnsi="WP TypographicSymbols" w:cs="WP TypographicSymbols"/>
    </w:rPr>
  </w:style>
  <w:style w:type="character" w:styleId="WW8Num100z0">
    <w:name w:val="WW8Num100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00z2">
    <w:name w:val="WW8Num100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101z0">
    <w:name w:val="WW8Num101z0"/>
    <w:qFormat/>
    <w:rPr>
      <w:b w:val="false"/>
    </w:rPr>
  </w:style>
  <w:style w:type="character" w:styleId="WW8Num102z0">
    <w:name w:val="WW8Num10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02z1">
    <w:name w:val="WW8Num102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105z0">
    <w:name w:val="WW8Num105z0"/>
    <w:qFormat/>
    <w:rPr>
      <w:rFonts w:ascii="WP TypographicSymbols" w:hAnsi="WP TypographicSymbols" w:cs="WP TypographicSymbols"/>
    </w:rPr>
  </w:style>
  <w:style w:type="character" w:styleId="WW8Num106z0">
    <w:name w:val="WW8Num106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06z2">
    <w:name w:val="WW8Num106z2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107z0">
    <w:name w:val="WW8Num107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08z0">
    <w:name w:val="WW8Num108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10z0">
    <w:name w:val="WW8Num110z0"/>
    <w:qFormat/>
    <w:rPr/>
  </w:style>
  <w:style w:type="character" w:styleId="WW8Num110z1">
    <w:name w:val="WW8Num110z1"/>
    <w:qFormat/>
    <w:rPr>
      <w:rFonts w:ascii="Times New Roman" w:hAnsi="Times New Roman" w:cs="Times New Roman"/>
      <w:b w:val="false"/>
      <w:i w:val="false"/>
      <w:sz w:val="22"/>
    </w:rPr>
  </w:style>
  <w:style w:type="character" w:styleId="WW8Num112z0">
    <w:name w:val="WW8Num112z0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12z1">
    <w:name w:val="WW8Num112z1"/>
    <w:qFormat/>
    <w:rPr>
      <w:rFonts w:ascii="Times New Roman" w:hAnsi="Times New Roman" w:cs="Times New Roman"/>
      <w:b w:val="false"/>
      <w:i w:val="false"/>
      <w:color w:val="auto"/>
      <w:sz w:val="20"/>
      <w:u w:val="none"/>
    </w:rPr>
  </w:style>
  <w:style w:type="character" w:styleId="WW8Num113z0">
    <w:name w:val="WW8Num113z0"/>
    <w:qFormat/>
    <w:rPr>
      <w:rFonts w:ascii="WP TypographicSymbols" w:hAnsi="WP TypographicSymbols" w:cs="WP TypographicSymbols"/>
    </w:rPr>
  </w:style>
  <w:style w:type="character" w:styleId="WW8Num114z0">
    <w:name w:val="WW8Num114z0"/>
    <w:qFormat/>
    <w:rPr>
      <w:rFonts w:ascii="WP TypographicSymbols" w:hAnsi="WP TypographicSymbols" w:cs="WP TypographicSymbols"/>
    </w:rPr>
  </w:style>
  <w:style w:type="character" w:styleId="WW8Num118z0">
    <w:name w:val="WW8Num118z0"/>
    <w:qFormat/>
    <w:rPr>
      <w:b w:val="false"/>
    </w:rPr>
  </w:style>
  <w:style w:type="character" w:styleId="WW8NumSt133z3">
    <w:name w:val="WW8NumSt133z3"/>
    <w:qFormat/>
    <w:rPr/>
  </w:style>
  <w:style w:type="character" w:styleId="WW8NumSt133z8">
    <w:name w:val="WW8NumSt133z8"/>
    <w:qFormat/>
    <w:rPr>
      <w:rFonts w:ascii="Symbol" w:hAnsi="Symbol" w:cs="Symbol"/>
      <w:color w:val="auto"/>
      <w:sz w:val="28"/>
    </w:rPr>
  </w:style>
  <w:style w:type="character" w:styleId="WW8NumSt134z3">
    <w:name w:val="WW8NumSt134z3"/>
    <w:qFormat/>
    <w:rPr/>
  </w:style>
  <w:style w:type="character" w:styleId="WW8NumSt134z8">
    <w:name w:val="WW8NumSt134z8"/>
    <w:qFormat/>
    <w:rPr>
      <w:rFonts w:ascii="Symbol" w:hAnsi="Symbol" w:cs="Symbol"/>
      <w:color w:val="auto"/>
      <w:sz w:val="28"/>
    </w:rPr>
  </w:style>
  <w:style w:type="character" w:styleId="WW8NumSt135z3">
    <w:name w:val="WW8NumSt135z3"/>
    <w:qFormat/>
    <w:rPr/>
  </w:style>
  <w:style w:type="character" w:styleId="WW8NumSt135z8">
    <w:name w:val="WW8NumSt135z8"/>
    <w:qFormat/>
    <w:rPr>
      <w:rFonts w:ascii="Symbol" w:hAnsi="Symbol" w:cs="Symbol"/>
      <w:color w:val="auto"/>
      <w:sz w:val="28"/>
    </w:rPr>
  </w:style>
  <w:style w:type="character" w:styleId="DefaultParagraphFont">
    <w:name w:val="Default Paragraph Font"/>
    <w:qFormat/>
    <w:rPr/>
  </w:style>
  <w:style w:type="character" w:styleId="ParaNum">
    <w:name w:val="ParaNum"/>
    <w:basedOn w:val="DefaultParagraphFont"/>
    <w:qFormat/>
    <w:rPr>
      <w:b w:val="false"/>
      <w:i w:val="false"/>
      <w:vanish w:val="false"/>
      <w:u w:val="none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Emphasis">
    <w:name w:val="Emphasis"/>
    <w:basedOn w:val="DefaultParagraphFont"/>
    <w:qFormat/>
    <w:rPr>
      <w:i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Strong">
    <w:name w:val="Strong"/>
    <w:basedOn w:val="DefaultParagraphFont"/>
    <w:qFormat/>
    <w:rPr>
      <w:b/>
    </w:rPr>
  </w:style>
  <w:style w:type="character" w:styleId="Underline">
    <w:name w:val="Underline"/>
    <w:basedOn w:val="DefaultParagraphFont"/>
    <w:qFormat/>
    <w:rPr>
      <w:rFonts w:ascii="Times New Roman" w:hAnsi="Times New Roman" w:cs="Times New Roman"/>
      <w:sz w:val="22"/>
      <w:u w:val="single"/>
    </w:rPr>
  </w:style>
  <w:style w:type="paragraph" w:styleId="Heading">
    <w:name w:val="Heading"/>
    <w:basedOn w:val="Normal"/>
    <w:next w:val="BodyText"/>
    <w:qFormat/>
    <w:pPr>
      <w:spacing w:before="0" w:after="240"/>
      <w:jc w:val="both"/>
    </w:pPr>
    <w:rPr>
      <w:sz w:val="24"/>
    </w:rPr>
  </w:style>
  <w:style w:type="paragraph" w:styleId="BodyText">
    <w:name w:val="Body Text"/>
    <w:basedOn w:val="Normal"/>
    <w:pPr>
      <w:numPr>
        <w:ilvl w:val="0"/>
        <w:numId w:val="19"/>
      </w:numPr>
      <w:ind w:hanging="0" w:start="1080" w:end="0"/>
    </w:pPr>
    <w:rPr>
      <w:sz w:val="20"/>
    </w:rPr>
  </w:style>
  <w:style w:type="paragraph" w:styleId="List">
    <w:name w:val="List"/>
    <w:basedOn w:val="Normal"/>
    <w:pPr>
      <w:spacing w:before="0" w:after="240"/>
      <w:jc w:val="both"/>
    </w:pPr>
    <w:rPr>
      <w:sz w:val="24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spacing w:before="0" w:after="200"/>
      <w:ind w:hanging="0" w:start="720" w:end="0"/>
      <w:jc w:val="both"/>
    </w:pPr>
    <w:rPr/>
  </w:style>
  <w:style w:type="paragraph" w:styleId="BodyTextIndent3">
    <w:name w:val="Body Text Indent 3"/>
    <w:basedOn w:val="Normal"/>
    <w:qFormat/>
    <w:pPr>
      <w:spacing w:before="0" w:after="160"/>
      <w:ind w:hanging="0" w:start="720" w:end="0"/>
      <w:jc w:val="both"/>
    </w:pPr>
    <w:rPr>
      <w:sz w:val="16"/>
    </w:rPr>
  </w:style>
  <w:style w:type="paragraph" w:styleId="Closing">
    <w:name w:val="Closing"/>
    <w:basedOn w:val="Normal"/>
    <w:qFormat/>
    <w:pPr>
      <w:ind w:hanging="0" w:start="4320" w:end="0"/>
    </w:pPr>
    <w:rPr>
      <w:sz w:val="24"/>
    </w:rPr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>
      <w:spacing w:before="0" w:after="1200"/>
      <w:jc w:val="center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  <w:sz w:val="24"/>
    </w:rPr>
  </w:style>
  <w:style w:type="paragraph" w:styleId="E-mailSignature">
    <w:name w:val="E-mail Signature"/>
    <w:basedOn w:val="Normal"/>
    <w:qFormat/>
    <w:pPr/>
    <w:rPr>
      <w:sz w:val="24"/>
    </w:rPr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noteText">
    <w:name w:val="footnote text"/>
    <w:basedOn w:val="Normal"/>
    <w:pPr>
      <w:spacing w:before="0" w:after="200"/>
      <w:jc w:val="both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TMLAddress">
    <w:name w:val="HTML Address"/>
    <w:basedOn w:val="Normal"/>
    <w:qFormat/>
    <w:pPr/>
    <w:rPr>
      <w:i/>
      <w:sz w:val="24"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40" w:start="240" w:end="0"/>
    </w:pPr>
    <w:rPr>
      <w:sz w:val="24"/>
    </w:rPr>
  </w:style>
  <w:style w:type="paragraph" w:styleId="Index2">
    <w:name w:val="index 2"/>
    <w:basedOn w:val="Normal"/>
    <w:next w:val="Normal"/>
    <w:pPr>
      <w:ind w:hanging="240" w:start="480" w:end="0"/>
    </w:pPr>
    <w:rPr>
      <w:sz w:val="24"/>
    </w:rPr>
  </w:style>
  <w:style w:type="paragraph" w:styleId="Index3">
    <w:name w:val="index 3"/>
    <w:basedOn w:val="Normal"/>
    <w:next w:val="Normal"/>
    <w:pPr>
      <w:ind w:hanging="240" w:start="720" w:end="0"/>
    </w:pPr>
    <w:rPr>
      <w:sz w:val="24"/>
    </w:rPr>
  </w:style>
  <w:style w:type="paragraph" w:styleId="Index4">
    <w:name w:val="Index 4"/>
    <w:basedOn w:val="Normal"/>
    <w:next w:val="Normal"/>
    <w:qFormat/>
    <w:pPr>
      <w:ind w:hanging="240" w:start="960" w:end="0"/>
    </w:pPr>
    <w:rPr>
      <w:sz w:val="24"/>
    </w:rPr>
  </w:style>
  <w:style w:type="paragraph" w:styleId="Index5">
    <w:name w:val="Index 5"/>
    <w:basedOn w:val="Normal"/>
    <w:next w:val="Normal"/>
    <w:qFormat/>
    <w:pPr>
      <w:ind w:hanging="240" w:start="1200" w:end="0"/>
    </w:pPr>
    <w:rPr>
      <w:sz w:val="24"/>
    </w:rPr>
  </w:style>
  <w:style w:type="paragraph" w:styleId="Index6">
    <w:name w:val="Index 6"/>
    <w:basedOn w:val="Normal"/>
    <w:next w:val="Normal"/>
    <w:qFormat/>
    <w:pPr>
      <w:ind w:hanging="240" w:start="1440" w:end="0"/>
    </w:pPr>
    <w:rPr>
      <w:sz w:val="24"/>
    </w:rPr>
  </w:style>
  <w:style w:type="paragraph" w:styleId="Index7">
    <w:name w:val="Index 7"/>
    <w:basedOn w:val="Normal"/>
    <w:next w:val="Normal"/>
    <w:qFormat/>
    <w:pPr>
      <w:ind w:hanging="240" w:start="1680" w:end="0"/>
    </w:pPr>
    <w:rPr>
      <w:sz w:val="24"/>
    </w:rPr>
  </w:style>
  <w:style w:type="paragraph" w:styleId="Index8">
    <w:name w:val="Index 8"/>
    <w:basedOn w:val="Normal"/>
    <w:next w:val="Normal"/>
    <w:qFormat/>
    <w:pPr>
      <w:ind w:hanging="240" w:start="1920" w:end="0"/>
    </w:pPr>
    <w:rPr>
      <w:sz w:val="24"/>
    </w:rPr>
  </w:style>
  <w:style w:type="paragraph" w:styleId="Index9">
    <w:name w:val="Index 9"/>
    <w:basedOn w:val="Normal"/>
    <w:next w:val="Normal"/>
    <w:qFormat/>
    <w:pPr>
      <w:ind w:hanging="240" w:start="2160" w:end="0"/>
    </w:pPr>
    <w:rPr>
      <w:sz w:val="24"/>
    </w:rPr>
  </w:style>
  <w:style w:type="paragraph" w:styleId="IndexHeading">
    <w:name w:val="index heading"/>
    <w:basedOn w:val="Normal"/>
    <w:next w:val="Index1"/>
    <w:pPr/>
    <w:rPr>
      <w:rFonts w:ascii="Arial" w:hAnsi="Arial" w:cs="Arial"/>
      <w:b/>
      <w:sz w:val="24"/>
    </w:rPr>
  </w:style>
  <w:style w:type="paragraph" w:styleId="ListBullet2">
    <w:name w:val="List Bullet 2"/>
    <w:basedOn w:val="Normal"/>
    <w:pPr>
      <w:numPr>
        <w:ilvl w:val="0"/>
        <w:numId w:val="12"/>
      </w:numPr>
      <w:spacing w:before="0" w:after="240"/>
      <w:jc w:val="both"/>
    </w:pPr>
    <w:rPr>
      <w:sz w:val="24"/>
    </w:rPr>
  </w:style>
  <w:style w:type="paragraph" w:styleId="ListBullet3">
    <w:name w:val="List Bullet 3"/>
    <w:basedOn w:val="Normal"/>
    <w:pPr>
      <w:numPr>
        <w:ilvl w:val="0"/>
        <w:numId w:val="12"/>
      </w:numPr>
      <w:spacing w:before="0" w:after="240"/>
      <w:jc w:val="both"/>
    </w:pPr>
    <w:rPr>
      <w:sz w:val="24"/>
    </w:rPr>
  </w:style>
  <w:style w:type="paragraph" w:styleId="ListBullet4">
    <w:name w:val="List Bullet 4"/>
    <w:basedOn w:val="Normal"/>
    <w:pPr>
      <w:numPr>
        <w:ilvl w:val="0"/>
        <w:numId w:val="12"/>
      </w:numPr>
      <w:spacing w:before="0" w:after="240"/>
      <w:jc w:val="both"/>
    </w:pPr>
    <w:rPr>
      <w:sz w:val="24"/>
    </w:rPr>
  </w:style>
  <w:style w:type="paragraph" w:styleId="ListBullet5">
    <w:name w:val="List Bullet 5"/>
    <w:basedOn w:val="Normal"/>
    <w:pPr>
      <w:spacing w:before="0" w:after="240"/>
      <w:ind w:hanging="720" w:start="3600" w:end="0"/>
      <w:jc w:val="both"/>
    </w:pPr>
    <w:rPr>
      <w:sz w:val="24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>
      <w:sz w:val="24"/>
    </w:rPr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>
      <w:sz w:val="24"/>
    </w:rPr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>
      <w:sz w:val="24"/>
    </w:rPr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>
      <w:sz w:val="24"/>
    </w:rPr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>
      <w:sz w:val="24"/>
    </w:rPr>
  </w:style>
  <w:style w:type="paragraph" w:styleId="ListContinue">
    <w:name w:val="List Continue"/>
    <w:basedOn w:val="Normal"/>
    <w:qFormat/>
    <w:pPr>
      <w:spacing w:before="0" w:after="240"/>
      <w:ind w:hanging="0" w:start="720" w:end="0"/>
      <w:jc w:val="both"/>
    </w:pPr>
    <w:rPr>
      <w:sz w:val="24"/>
    </w:rPr>
  </w:style>
  <w:style w:type="paragraph" w:styleId="ListContinue2">
    <w:name w:val="List Continue 2"/>
    <w:basedOn w:val="Normal"/>
    <w:qFormat/>
    <w:pPr>
      <w:spacing w:before="0" w:after="240"/>
      <w:ind w:hanging="0" w:start="1440" w:end="0"/>
      <w:jc w:val="both"/>
    </w:pPr>
    <w:rPr>
      <w:sz w:val="24"/>
    </w:rPr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>
      <w:sz w:val="24"/>
    </w:rPr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>
      <w:sz w:val="24"/>
    </w:rPr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>
      <w:sz w:val="24"/>
    </w:rPr>
  </w:style>
  <w:style w:type="paragraph" w:styleId="ListNumber">
    <w:name w:val="List Number"/>
    <w:basedOn w:val="Normal"/>
    <w:qFormat/>
    <w:pPr>
      <w:numPr>
        <w:ilvl w:val="0"/>
        <w:numId w:val="10"/>
      </w:numPr>
      <w:spacing w:before="0" w:after="240"/>
    </w:pPr>
    <w:rPr>
      <w:sz w:val="22"/>
    </w:rPr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>
      <w:sz w:val="24"/>
    </w:rPr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>
      <w:sz w:val="20"/>
    </w:rPr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>
      <w:sz w:val="24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>
      <w:sz w:val="24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</w:rPr>
  </w:style>
  <w:style w:type="paragraph" w:styleId="NormalWeb">
    <w:name w:val="Normal (Web)"/>
    <w:basedOn w:val="Normal"/>
    <w:qFormat/>
    <w:pPr/>
    <w:rPr>
      <w:sz w:val="24"/>
    </w:rPr>
  </w:style>
  <w:style w:type="paragraph" w:styleId="NormalIndent">
    <w:name w:val="Normal Indent"/>
    <w:basedOn w:val="Normal"/>
    <w:qFormat/>
    <w:pPr>
      <w:ind w:hanging="0" w:start="720" w:end="0"/>
    </w:pPr>
    <w:rPr>
      <w:sz w:val="24"/>
    </w:rPr>
  </w:style>
  <w:style w:type="paragraph" w:styleId="NoteHeading">
    <w:name w:val="Note Heading"/>
    <w:basedOn w:val="Normal"/>
    <w:next w:val="Normal"/>
    <w:qFormat/>
    <w:pPr/>
    <w:rPr>
      <w:sz w:val="24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>
      <w:sz w:val="24"/>
    </w:rPr>
  </w:style>
  <w:style w:type="paragraph" w:styleId="Signature">
    <w:name w:val="Signature"/>
    <w:basedOn w:val="Normal"/>
    <w:pPr>
      <w:ind w:hanging="0" w:start="4320" w:end="0"/>
    </w:pPr>
    <w:rPr>
      <w:sz w:val="24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qFormat/>
    <w:pPr>
      <w:ind w:hanging="240" w:start="240" w:end="0"/>
    </w:pPr>
    <w:rPr>
      <w:sz w:val="24"/>
    </w:rPr>
  </w:style>
  <w:style w:type="paragraph" w:styleId="TableofFigures">
    <w:name w:val="Table of Figures"/>
    <w:basedOn w:val="Normal"/>
    <w:next w:val="Normal"/>
    <w:qFormat/>
    <w:pPr>
      <w:ind w:hanging="480" w:start="480" w:end="0"/>
    </w:pPr>
    <w:rPr>
      <w:sz w:val="24"/>
    </w:rPr>
  </w:style>
  <w:style w:type="paragraph" w:styleId="Title">
    <w:name w:val="Title"/>
    <w:basedOn w:val="Normal"/>
    <w:next w:val="Normal"/>
    <w:qFormat/>
    <w:pPr>
      <w:pageBreakBefore/>
      <w:spacing w:before="0" w:after="240"/>
      <w:jc w:val="center"/>
    </w:pPr>
    <w:rPr>
      <w:rFonts w:ascii="Times New Roman Bold" w:hAnsi="Times New Roman Bold" w:cs="Times New Roman Bold"/>
      <w:b/>
      <w:caps/>
      <w:sz w:val="24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/>
    <w:rPr>
      <w:sz w:val="24"/>
    </w:rPr>
  </w:style>
  <w:style w:type="paragraph" w:styleId="TOC2">
    <w:name w:val="toc 2"/>
    <w:basedOn w:val="Normal"/>
    <w:next w:val="Normal"/>
    <w:pPr>
      <w:ind w:hanging="0" w:start="240" w:end="0"/>
    </w:pPr>
    <w:rPr>
      <w:sz w:val="24"/>
    </w:rPr>
  </w:style>
  <w:style w:type="paragraph" w:styleId="TOC3">
    <w:name w:val="toc 3"/>
    <w:basedOn w:val="Normal"/>
    <w:next w:val="Normal"/>
    <w:pPr>
      <w:ind w:hanging="0" w:start="480" w:end="0"/>
    </w:pPr>
    <w:rPr>
      <w:sz w:val="24"/>
    </w:rPr>
  </w:style>
  <w:style w:type="paragraph" w:styleId="TOC4">
    <w:name w:val="toc 4"/>
    <w:basedOn w:val="Normal"/>
    <w:next w:val="Normal"/>
    <w:pPr>
      <w:ind w:hanging="0" w:start="720" w:end="0"/>
    </w:pPr>
    <w:rPr>
      <w:sz w:val="24"/>
    </w:rPr>
  </w:style>
  <w:style w:type="paragraph" w:styleId="TOC5">
    <w:name w:val="toc 5"/>
    <w:basedOn w:val="Normal"/>
    <w:next w:val="Normal"/>
    <w:pPr>
      <w:ind w:hanging="0" w:start="960" w:end="0"/>
    </w:pPr>
    <w:rPr>
      <w:sz w:val="24"/>
    </w:rPr>
  </w:style>
  <w:style w:type="paragraph" w:styleId="TOC6">
    <w:name w:val="toc 6"/>
    <w:basedOn w:val="Normal"/>
    <w:next w:val="Normal"/>
    <w:pPr>
      <w:ind w:hanging="0" w:start="1200" w:end="0"/>
    </w:pPr>
    <w:rPr>
      <w:sz w:val="24"/>
    </w:rPr>
  </w:style>
  <w:style w:type="paragraph" w:styleId="TOC7">
    <w:name w:val="toc 7"/>
    <w:basedOn w:val="Normal"/>
    <w:next w:val="Normal"/>
    <w:pPr>
      <w:ind w:hanging="0" w:start="1440" w:end="0"/>
    </w:pPr>
    <w:rPr>
      <w:sz w:val="24"/>
    </w:rPr>
  </w:style>
  <w:style w:type="paragraph" w:styleId="TOC8">
    <w:name w:val="toc 8"/>
    <w:basedOn w:val="Normal"/>
    <w:next w:val="Normal"/>
    <w:pPr>
      <w:ind w:hanging="0" w:start="1680" w:end="0"/>
    </w:pPr>
    <w:rPr>
      <w:sz w:val="24"/>
    </w:rPr>
  </w:style>
  <w:style w:type="paragraph" w:styleId="TOC9">
    <w:name w:val="toc 9"/>
    <w:basedOn w:val="Normal"/>
    <w:next w:val="Normal"/>
    <w:pPr>
      <w:ind w:hanging="0" w:start="1920" w:end="0"/>
    </w:pPr>
    <w:rPr>
      <w:sz w:val="24"/>
    </w:rPr>
  </w:style>
  <w:style w:type="paragraph" w:styleId="Notices">
    <w:name w:val="Notices"/>
    <w:basedOn w:val="Normal"/>
    <w:qFormat/>
    <w:pPr>
      <w:keepLines/>
      <w:tabs>
        <w:tab w:val="clear" w:pos="720"/>
        <w:tab w:val="left" w:pos="2160" w:leader="none"/>
      </w:tabs>
      <w:spacing w:before="0" w:after="240"/>
      <w:ind w:hanging="2880" w:start="4320" w:end="0"/>
    </w:pPr>
    <w:rPr>
      <w:sz w:val="24"/>
    </w:rPr>
  </w:style>
  <w:style w:type="paragraph" w:styleId="1LargeBullet">
    <w:name w:val="1Large Bullet"/>
    <w:qFormat/>
    <w:pPr>
      <w:widowControl/>
      <w:numPr>
        <w:ilvl w:val="0"/>
        <w:numId w:val="26"/>
      </w:numPr>
      <w:tabs>
        <w:tab w:val="clear" w:pos="720"/>
      </w:tabs>
      <w:bidi w:val="0"/>
      <w:spacing w:before="0" w:after="240"/>
      <w:ind w:hanging="360" w:start="360" w:end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1Outline">
    <w:name w:val="1!Outline"/>
    <w:qFormat/>
    <w:pPr>
      <w:widowControl w:val="false"/>
      <w:tabs>
        <w:tab w:val="left" w:pos="720" w:leader="none"/>
      </w:tabs>
      <w:bidi w:val="0"/>
      <w:ind w:hanging="720" w:start="720" w:end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2Outline">
    <w:name w:val="2!Outline"/>
    <w:qFormat/>
    <w:pPr>
      <w:widowControl/>
      <w:tabs>
        <w:tab w:val="left" w:pos="720" w:leader="none"/>
      </w:tabs>
      <w:bidi w:val="0"/>
      <w:ind w:hanging="720" w:start="720" w:end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3Outline">
    <w:name w:val="3!Outline"/>
    <w:qFormat/>
    <w:pPr>
      <w:widowControl/>
      <w:tabs>
        <w:tab w:val="left" w:pos="720" w:leader="none"/>
        <w:tab w:val="left" w:pos="1440" w:leader="none"/>
      </w:tabs>
      <w:bidi w:val="0"/>
      <w:ind w:hanging="720" w:start="1440" w:end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FirstIndent">
    <w:name w:val="Body Text First Indent"/>
    <w:basedOn w:val="BodyText"/>
    <w:qFormat/>
    <w:pPr>
      <w:ind w:firstLine="720" w:start="1080" w:end="0"/>
      <w:jc w:val="both"/>
    </w:pPr>
    <w:rPr/>
  </w:style>
  <w:style w:type="paragraph" w:styleId="BodyTextFirstIndent2">
    <w:name w:val="Body Text First Indent 2"/>
    <w:basedOn w:val="BodyTextIndent"/>
    <w:qFormat/>
    <w:pPr>
      <w:spacing w:before="0" w:after="120"/>
      <w:ind w:firstLine="210" w:start="360" w:end="0"/>
      <w:jc w:val="start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2000-09-13T21:49:00Z</dcterms:created>
  <dc:creator>A&amp;K</dc:creator>
  <dc:description/>
  <dc:language>en-CA</dc:language>
  <cp:lastModifiedBy>A&amp;K</cp:lastModifiedBy>
  <cp:lastPrinted>2000-09-13T16:46:00Z</cp:lastPrinted>
  <dcterms:modified xsi:type="dcterms:W3CDTF">2000-09-13T21:49:00Z</dcterms:modified>
  <cp:revision>2</cp:revision>
  <dc:subject/>
  <dc:title>LOST CREEK GATHERING COMPANY, L</dc:title>
</cp:coreProperties>
</file>