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Exhibit E-1</w:t>
      </w:r>
    </w:p>
    <w:p>
      <w:pPr>
        <w:pStyle w:val="Heading"/>
        <w:rPr>
          <w:b/>
        </w:rPr>
      </w:pPr>
      <w:r>
        <w:rPr>
          <w:b/>
        </w:rPr>
        <w:t xml:space="preserve">to </w:t>
      </w:r>
    </w:p>
    <w:p>
      <w:pPr>
        <w:pStyle w:val="Heading"/>
        <w:rPr>
          <w:b/>
        </w:rPr>
      </w:pPr>
      <w:r>
        <w:rPr>
          <w:b/>
        </w:rPr>
        <w:t>Purchase and Sale Agreement</w:t>
      </w:r>
    </w:p>
    <w:p>
      <w:pPr>
        <w:pStyle w:val="Heading"/>
        <w:rPr>
          <w:b/>
        </w:rPr>
      </w:pPr>
      <w:r>
        <w:rPr>
          <w:b/>
        </w:rPr>
      </w:r>
    </w:p>
    <w:p>
      <w:pPr>
        <w:pStyle w:val="Heading"/>
        <w:spacing w:before="0" w:after="240"/>
        <w:rPr>
          <w:b/>
        </w:rPr>
      </w:pPr>
      <w:r>
        <w:rPr>
          <w:b/>
        </w:rPr>
        <w:t>ASSIGNMENT AND ASSUMPTION AGREEMENT</w:t>
      </w:r>
    </w:p>
    <w:p>
      <w:pPr>
        <w:pStyle w:val="BodyTextFirstIndent"/>
        <w:rPr/>
      </w:pPr>
      <w:r>
        <w:rPr/>
        <w:t>THIS ASSIGNMENT AND ASSUMPTION AGREEMENT (this “</w:t>
      </w:r>
      <w:r>
        <w:rPr>
          <w:u w:val="single"/>
        </w:rPr>
        <w:t>Assignment</w:t>
      </w:r>
      <w:r>
        <w:rPr/>
        <w:t>”), dated as of September ___, 2000, is executed by Enron North America Corp. (“</w:t>
      </w:r>
      <w:r>
        <w:rPr>
          <w:u w:val="single"/>
        </w:rPr>
        <w:t>Assignor</w:t>
      </w:r>
      <w:r>
        <w:rPr/>
        <w:t>”), a Delaware corporation, to NBP Energy Pipelines, L.L.C. (“</w:t>
      </w:r>
      <w:r>
        <w:rPr>
          <w:u w:val="single"/>
        </w:rPr>
        <w:t>Assignee</w:t>
      </w:r>
      <w:r>
        <w:rPr/>
        <w:t>”), a Delaware limited liability company.</w:t>
      </w:r>
    </w:p>
    <w:p>
      <w:pPr>
        <w:pStyle w:val="Heading"/>
        <w:spacing w:before="0" w:after="240"/>
        <w:rPr>
          <w:b/>
        </w:rPr>
      </w:pPr>
      <w:r>
        <w:rPr>
          <w:b/>
        </w:rPr>
        <w:t>Recitals:</w:t>
      </w:r>
    </w:p>
    <w:p>
      <w:pPr>
        <w:pStyle w:val="BodyTextFirstIndent"/>
        <w:rPr/>
      </w:pPr>
      <w:r>
        <w:rPr/>
        <w:t>A.</w:t>
        <w:tab/>
        <w:t>Assignor owns, directly and beneficially, all issued and outstanding membership interests in and to Enron Midstream Services, L.L.C., a Delaware limited liability company (“</w:t>
      </w:r>
      <w:r>
        <w:rPr>
          <w:u w:val="single"/>
        </w:rPr>
        <w:t>Assigned Membership Interests</w:t>
      </w:r>
      <w:r>
        <w:rPr/>
        <w:t xml:space="preserve">”).  </w:t>
      </w:r>
    </w:p>
    <w:p>
      <w:pPr>
        <w:pStyle w:val="BodyTextFirstIndent"/>
        <w:rPr/>
      </w:pPr>
      <w:r>
        <w:rPr/>
        <w:t>B.</w:t>
        <w:tab/>
        <w:t xml:space="preserve">Assignor is a party to the gas gathering contracts and other agreements described in </w:t>
      </w:r>
      <w:r>
        <w:rPr>
          <w:u w:val="single"/>
        </w:rPr>
        <w:t>Attachment 1</w:t>
      </w:r>
      <w:r>
        <w:rPr/>
        <w:t xml:space="preserve"> hereto (the “</w:t>
      </w:r>
      <w:r>
        <w:rPr>
          <w:u w:val="single"/>
        </w:rPr>
        <w:t>Assigned Contracts</w:t>
      </w:r>
      <w:r>
        <w:rPr/>
        <w:t xml:space="preserve">”).  </w:t>
      </w:r>
    </w:p>
    <w:p>
      <w:pPr>
        <w:pStyle w:val="BodyTextFirstIndent"/>
        <w:rPr/>
      </w:pPr>
      <w:r>
        <w:rPr/>
        <w:t>C.</w:t>
        <w:tab/>
        <w:t>Assignor and Assignee have entered into a Purchase and Sale Agreement, dated ______, 2000 (the “</w:t>
      </w:r>
      <w:r>
        <w:rPr>
          <w:u w:val="single"/>
        </w:rPr>
        <w:t>Purchase Agreement</w:t>
      </w:r>
      <w:r>
        <w:rPr/>
        <w:t xml:space="preserve">”), under which Assignor has agreed to sell and transfer, and Assignee has agreed to buy, among other things, the Assigned Membership Interests and the Assigned Contracts and to assume certain obligations in connection with the Assigned Membership Interests and the Assigned Contracts, all as more fully provided therein. </w:t>
      </w:r>
    </w:p>
    <w:p>
      <w:pPr>
        <w:pStyle w:val="BodyTextFirstIndent"/>
        <w:rPr/>
      </w:pPr>
      <w:r>
        <w:rPr/>
        <w:t>D.</w:t>
        <w:tab/>
        <w:t>Assignor now desires to transfer to Assignee the Assigned Membership Interests the Assigned Contracts and Assignee desires to assume such obligations.</w:t>
      </w:r>
    </w:p>
    <w:p>
      <w:pPr>
        <w:pStyle w:val="BodyTextFirstIndent"/>
        <w:rPr/>
      </w:pPr>
      <w:r>
        <w:rPr/>
        <w:t>NOW THEREFORE, for good and valuable consideration, the receipt and sufficiency of which are hereby acknowledged, Assignor and Assignee do hereby agree as follows:</w:t>
      </w:r>
    </w:p>
    <w:p>
      <w:pPr>
        <w:pStyle w:val="Heading"/>
        <w:spacing w:before="0" w:after="240"/>
        <w:rPr/>
      </w:pPr>
      <w:r>
        <w:rPr/>
        <w:t>ASSIGNMENTS AND AGREEMENTS:</w:t>
      </w:r>
    </w:p>
    <w:p>
      <w:pPr>
        <w:pStyle w:val="Heading5"/>
        <w:ind w:hanging="0" w:start="0"/>
        <w:rPr/>
      </w:pPr>
      <w:r>
        <w:rPr>
          <w:i/>
        </w:rPr>
        <w:t>Assignment</w:t>
      </w:r>
      <w:r>
        <w:rPr/>
        <w:t xml:space="preserve">.  Assignor has transferred, assigned, conveyed, and delivered, and by these presents does transfer, assign, convey, and deliver, to Assignee, the Assigned Membership Interests and the Assigned Contracts.  </w:t>
      </w:r>
    </w:p>
    <w:p>
      <w:pPr>
        <w:pStyle w:val="BodyTextFirstIndent"/>
        <w:rPr/>
      </w:pPr>
      <w:r>
        <w:rPr/>
        <w:t>TO HAVE AND TO HOLD, the Assigned Membership Interests and the Assigned Contracts, together with all and singular the rights and appurtenances thereto in anywise belonging unto Assignee, and its successors and assigns, forever.</w:t>
      </w:r>
    </w:p>
    <w:p>
      <w:pPr>
        <w:pStyle w:val="Heading5"/>
        <w:numPr>
          <w:ilvl w:val="4"/>
          <w:numId w:val="12"/>
        </w:numPr>
        <w:rPr/>
      </w:pPr>
      <w:r>
        <w:rPr>
          <w:i/>
        </w:rPr>
        <w:t>Assumption</w:t>
      </w:r>
      <w:r>
        <w:rPr/>
        <w:t xml:space="preserve">.  Assignee hereby agrees to assume and fully perform all of Assignor’s obligations and liabilities under and in respect of the Assigned Membership Interests and the Assigned Contracts relating to periods of time from and after the date hereof.  Assignor and Assignee agree that the Assignee is not assuming any of the Assignor’s obligations for gas imbalances under the agreements described in Items 1 and 2 of </w:t>
      </w:r>
      <w:r>
        <w:rPr>
          <w:u w:val="single"/>
        </w:rPr>
        <w:t>Attachment 1</w:t>
      </w:r>
      <w:r>
        <w:rPr/>
        <w:t xml:space="preserve"> that relate to periods of time prior to the date hereof.</w:t>
      </w:r>
    </w:p>
    <w:p>
      <w:pPr>
        <w:pStyle w:val="Heading5"/>
        <w:ind w:hanging="0" w:start="0"/>
        <w:rPr/>
      </w:pPr>
      <w:r>
        <w:rPr>
          <w:i/>
        </w:rPr>
        <w:t>Purchase Agreement</w:t>
      </w:r>
      <w:r>
        <w:rPr/>
        <w:t>.  This Assignment is subject to, in all respects, the terms and conditions of the Purchase Agreement, and to the extent there is a conflict between this Assignment and the Purchase Agreement, the terms of the Purchase Agreement shall control.</w:t>
      </w:r>
    </w:p>
    <w:p>
      <w:pPr>
        <w:pStyle w:val="Heading5"/>
        <w:ind w:hanging="0" w:start="0"/>
        <w:rPr/>
      </w:pPr>
      <w:r>
        <w:rPr>
          <w:i/>
        </w:rPr>
        <w:t>Counterparts</w:t>
      </w:r>
      <w:r>
        <w:rPr/>
        <w:t xml:space="preserve">.  This Assignment may be executed in counterparts, including faxed counterparts. </w:t>
      </w:r>
    </w:p>
    <w:p>
      <w:pPr>
        <w:pStyle w:val="Heading5"/>
        <w:ind w:hanging="0" w:start="0"/>
        <w:rPr/>
      </w:pPr>
      <w:r>
        <w:rPr>
          <w:i/>
        </w:rPr>
        <w:t>Governing Law</w:t>
      </w:r>
      <w:r>
        <w:rPr/>
        <w:t>.  This Assignment shall be governed by, and construed and enforced in accordance with, the laws of the State of Texas.</w:t>
      </w:r>
    </w:p>
    <w:p>
      <w:pPr>
        <w:pStyle w:val="BodyTextFirstIndent"/>
        <w:rPr/>
      </w:pPr>
      <w:r>
        <w:rPr/>
        <w:t>IN WITNESS WHEREOF, Assignor and Assignee have executed this Assignment as of this the _____ day of September, 2000.</w:t>
      </w:r>
    </w:p>
    <w:p>
      <w:pPr>
        <w:pStyle w:val="Signature"/>
        <w:rPr/>
      </w:pPr>
      <w:r>
        <w:rPr>
          <w:i/>
        </w:rPr>
        <w:t>Assignor</w:t>
      </w:r>
      <w:r>
        <w:rPr/>
        <w:t>:</w:t>
      </w:r>
    </w:p>
    <w:p>
      <w:pPr>
        <w:pStyle w:val="Signature"/>
        <w:rPr/>
      </w:pPr>
      <w:r>
        <w:rPr/>
      </w:r>
    </w:p>
    <w:p>
      <w:pPr>
        <w:pStyle w:val="Signature"/>
        <w:rPr/>
      </w:pPr>
      <w:r>
        <w:rPr/>
        <w:t>ENRON NORTH AMERICA CORP.</w:t>
      </w:r>
    </w:p>
    <w:p>
      <w:pPr>
        <w:pStyle w:val="Signature"/>
        <w:rPr/>
      </w:pPr>
      <w:r>
        <w:rPr/>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 xml:space="preserve"> </w:t>
        <w:tab/>
      </w:r>
    </w:p>
    <w:p>
      <w:pPr>
        <w:pStyle w:val="Signature"/>
        <w:rPr/>
      </w:pPr>
      <w:r>
        <w:rPr/>
        <w:t xml:space="preserve">Title:  </w:t>
      </w:r>
      <w:r>
        <w:rPr>
          <w:u w:val="single"/>
        </w:rPr>
        <w:tab/>
      </w:r>
    </w:p>
    <w:p>
      <w:pPr>
        <w:pStyle w:val="Signature"/>
        <w:rPr/>
      </w:pPr>
      <w:r>
        <w:rPr/>
      </w:r>
    </w:p>
    <w:p>
      <w:pPr>
        <w:pStyle w:val="Signature"/>
        <w:rPr/>
      </w:pPr>
      <w:r>
        <w:rPr/>
      </w:r>
    </w:p>
    <w:p>
      <w:pPr>
        <w:pStyle w:val="Signature"/>
        <w:rPr/>
      </w:pPr>
      <w:r>
        <w:rPr>
          <w:i/>
        </w:rPr>
        <w:t>Assignee</w:t>
      </w:r>
      <w:r>
        <w:rPr/>
        <w:t>:</w:t>
      </w:r>
    </w:p>
    <w:p>
      <w:pPr>
        <w:pStyle w:val="Signature"/>
        <w:rPr/>
      </w:pPr>
      <w:r>
        <w:rPr/>
      </w:r>
    </w:p>
    <w:p>
      <w:pPr>
        <w:pStyle w:val="Signature"/>
        <w:rPr/>
      </w:pPr>
      <w:r>
        <w:rPr/>
        <w:t>NBP ENERGY PIPELINES, L.L.C.</w:t>
      </w:r>
    </w:p>
    <w:p>
      <w:pPr>
        <w:pStyle w:val="Signature"/>
        <w:rPr/>
      </w:pPr>
      <w:r>
        <w:rPr/>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 xml:space="preserve"> </w:t>
        <w:tab/>
      </w:r>
    </w:p>
    <w:p>
      <w:pPr>
        <w:pStyle w:val="Signature"/>
        <w:rPr/>
      </w:pPr>
      <w:r>
        <w:rPr/>
        <w:t xml:space="preserve">Title: </w:t>
      </w:r>
      <w:r>
        <w:rPr>
          <w:u w:val="single"/>
        </w:rPr>
        <w:t xml:space="preserve"> </w:t>
        <w:tab/>
      </w:r>
      <w:r>
        <w:br w:type="page"/>
      </w:r>
    </w:p>
    <w:p>
      <w:pPr>
        <w:pStyle w:val="BodyText"/>
        <w:rPr/>
      </w:pPr>
      <w:r>
        <w:rPr/>
      </w:r>
    </w:p>
    <w:p>
      <w:pPr>
        <w:pStyle w:val="BodyText"/>
        <w:tabs>
          <w:tab w:val="clear" w:pos="720"/>
          <w:tab w:val="left" w:pos="2880" w:leader="none"/>
        </w:tabs>
        <w:spacing w:before="0" w:after="0"/>
        <w:rPr/>
      </w:pPr>
      <w:r>
        <w:rPr/>
        <w:t>STATE OF __________</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0"/>
        <w:rPr/>
      </w:pPr>
      <w:r>
        <w:rPr/>
        <w:t>COUNTY OF __________</w:t>
        <w:tab/>
        <w:t>§</w:t>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ind w:firstLine="720" w:end="0"/>
        <w:rPr/>
      </w:pPr>
      <w:r>
        <w:rPr/>
        <w:t>This instrument was acknowledged before me on ________, 2000 by ____________, ______________ of Enron North America Corp., a Delaware corporation, on behalf of said corporation.</w:t>
      </w:r>
    </w:p>
    <w:p>
      <w:pPr>
        <w:pStyle w:val="Signature"/>
        <w:rPr>
          <w:u w:val="single"/>
        </w:rPr>
      </w:pPr>
      <w:r>
        <w:rPr>
          <w:u w:val="single"/>
        </w:rPr>
        <w:tab/>
      </w:r>
    </w:p>
    <w:p>
      <w:pPr>
        <w:pStyle w:val="Signature"/>
        <w:rPr/>
      </w:pPr>
      <w:r>
        <w:rPr/>
        <w:t xml:space="preserve">Notary Public for the State of </w:t>
      </w:r>
      <w:r>
        <w:rPr>
          <w:u w:val="single"/>
        </w:rPr>
        <w:tab/>
      </w:r>
    </w:p>
    <w:p>
      <w:pPr>
        <w:pStyle w:val="Signature"/>
        <w:rPr/>
      </w:pPr>
      <w:r>
        <w:rPr/>
        <w:t>Printed Name:</w:t>
      </w:r>
      <w:r>
        <w:rPr>
          <w:u w:val="single"/>
        </w:rPr>
        <w:tab/>
      </w:r>
    </w:p>
    <w:p>
      <w:pPr>
        <w:pStyle w:val="Signature"/>
        <w:rPr/>
      </w:pPr>
      <w:r>
        <w:rPr/>
        <w:t>My Commission Expires:</w:t>
      </w:r>
      <w:r>
        <w:rPr>
          <w:u w:val="single"/>
        </w:rPr>
        <w:tab/>
      </w:r>
    </w:p>
    <w:p>
      <w:pPr>
        <w:pStyle w:val="Signature"/>
        <w:rPr/>
      </w:pPr>
      <w:r>
        <w:rPr/>
      </w:r>
    </w:p>
    <w:p>
      <w:pPr>
        <w:pStyle w:val="Signature"/>
        <w:rPr/>
      </w:pPr>
      <w:r>
        <w:rPr/>
      </w:r>
    </w:p>
    <w:p>
      <w:pPr>
        <w:pStyle w:val="Signature"/>
        <w:rPr/>
      </w:pPr>
      <w:r>
        <w:rPr/>
      </w:r>
    </w:p>
    <w:p>
      <w:pPr>
        <w:pStyle w:val="BodyText"/>
        <w:tabs>
          <w:tab w:val="clear" w:pos="720"/>
          <w:tab w:val="left" w:pos="2880" w:leader="none"/>
        </w:tabs>
        <w:spacing w:before="0" w:after="0"/>
        <w:rPr/>
      </w:pPr>
      <w:r>
        <w:rPr/>
        <w:t>STATE OF __________</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0"/>
        <w:rPr/>
      </w:pPr>
      <w:r>
        <w:rPr/>
        <w:t>COUNTY OF __________</w:t>
        <w:tab/>
        <w:t>§</w:t>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ind w:firstLine="720" w:end="0"/>
        <w:rPr/>
      </w:pPr>
      <w:r>
        <w:rPr/>
        <w:t>This instrument was acknowledged before me on ________, 2000 by ____________, ______________ of NBP Energy Pipelines, L.L.C., a Delaware limited liability company, on behalf of said limited liability company.</w:t>
      </w:r>
    </w:p>
    <w:p>
      <w:pPr>
        <w:pStyle w:val="BodyText"/>
        <w:tabs>
          <w:tab w:val="clear" w:pos="720"/>
          <w:tab w:val="left" w:pos="2880" w:leader="none"/>
        </w:tabs>
        <w:spacing w:before="0" w:after="0"/>
        <w:ind w:firstLine="720" w:end="0"/>
        <w:rPr/>
      </w:pPr>
      <w:r>
        <w:rPr/>
      </w:r>
    </w:p>
    <w:p>
      <w:pPr>
        <w:pStyle w:val="Signature"/>
        <w:rPr>
          <w:u w:val="single"/>
        </w:rPr>
      </w:pPr>
      <w:r>
        <w:rPr>
          <w:u w:val="single"/>
        </w:rPr>
        <w:tab/>
      </w:r>
    </w:p>
    <w:p>
      <w:pPr>
        <w:pStyle w:val="Signature"/>
        <w:rPr/>
      </w:pPr>
      <w:r>
        <w:rPr/>
        <w:t xml:space="preserve">Notary Public for the State of </w:t>
      </w:r>
      <w:r>
        <w:rPr>
          <w:u w:val="single"/>
        </w:rPr>
        <w:tab/>
      </w:r>
    </w:p>
    <w:p>
      <w:pPr>
        <w:pStyle w:val="Signature"/>
        <w:rPr/>
      </w:pPr>
      <w:r>
        <w:rPr/>
        <w:t>Printed Name:</w:t>
      </w:r>
      <w:r>
        <w:rPr>
          <w:u w:val="single"/>
        </w:rPr>
        <w:tab/>
      </w:r>
    </w:p>
    <w:p>
      <w:pPr>
        <w:pStyle w:val="Signature"/>
        <w:rPr/>
      </w:pPr>
      <w:r>
        <w:rPr/>
        <w:t>My Commission Expires:</w:t>
      </w:r>
      <w:r>
        <w:rPr>
          <w:u w:val="single"/>
        </w:rPr>
        <w:tab/>
      </w:r>
    </w:p>
    <w:p>
      <w:pPr>
        <w:pStyle w:val="Signature"/>
        <w:rPr/>
      </w:pPr>
      <w:r>
        <w:rPr/>
      </w:r>
    </w:p>
    <w:p>
      <w:pPr>
        <w:pStyle w:val="BodyText"/>
        <w:rPr/>
      </w:pPr>
      <w:r>
        <w:rPr/>
      </w:r>
      <w:r>
        <w:br w:type="page"/>
      </w:r>
    </w:p>
    <w:p>
      <w:pPr>
        <w:pStyle w:val="BodyText"/>
        <w:rPr/>
      </w:pPr>
      <w:r>
        <w:rPr/>
      </w:r>
    </w:p>
    <w:p>
      <w:pPr>
        <w:pStyle w:val="Heading"/>
        <w:rPr>
          <w:b/>
        </w:rPr>
      </w:pPr>
      <w:r>
        <w:rPr>
          <w:b/>
        </w:rPr>
        <w:t>Attachment 1</w:t>
      </w:r>
    </w:p>
    <w:p>
      <w:pPr>
        <w:pStyle w:val="Heading"/>
        <w:rPr>
          <w:b/>
        </w:rPr>
      </w:pPr>
      <w:r>
        <w:rPr>
          <w:b/>
        </w:rPr>
      </w:r>
    </w:p>
    <w:p>
      <w:pPr>
        <w:pStyle w:val="Heading"/>
        <w:rPr>
          <w:b/>
        </w:rPr>
      </w:pPr>
      <w:r>
        <w:rPr>
          <w:b/>
        </w:rPr>
        <w:t>Assigned Contracts</w:t>
      </w:r>
    </w:p>
    <w:p>
      <w:pPr>
        <w:pStyle w:val="Heading"/>
        <w:rPr>
          <w:b/>
        </w:rPr>
      </w:pPr>
      <w:r>
        <w:rPr>
          <w:b/>
        </w:rPr>
      </w:r>
    </w:p>
    <w:p>
      <w:pPr>
        <w:pStyle w:val="Heading"/>
        <w:rPr>
          <w:b/>
        </w:rPr>
      </w:pPr>
      <w:r>
        <w:rPr>
          <w:b/>
        </w:rPr>
      </w:r>
    </w:p>
    <w:p>
      <w:pPr>
        <w:pStyle w:val="Heading"/>
        <w:rPr>
          <w:b/>
        </w:rPr>
      </w:pPr>
      <w:r>
        <w:rPr>
          <w:b/>
        </w:rPr>
      </w:r>
    </w:p>
    <w:p>
      <w:pPr>
        <w:pStyle w:val="Normal"/>
        <w:rPr/>
      </w:pPr>
      <w:r>
        <w:rPr/>
        <w:t>1.  Firm Gas Gathering Agreement between Fort Union Gas Gathering, L.L.C. and Enron North America Corp. (formerly Enron Capital &amp; Trade Resources Corp.) dated December 17, 1998, as amended on April 1, 1999.</w:t>
      </w:r>
    </w:p>
    <w:p>
      <w:pPr>
        <w:pStyle w:val="Normal"/>
        <w:rPr/>
      </w:pPr>
      <w:r>
        <w:rPr/>
        <w:t>2.  Firm Gas Gathering Agreement between Lost Creek Gathering Company, L.L.C. and Enron North America Corp. (formerly Enron Capital &amp; Trade Resources Corp.) dated December 17, 1998, as amended on September 24, 1999, January 10, 2000, and on June 30, 2000.</w:t>
      </w:r>
    </w:p>
    <w:p>
      <w:pPr>
        <w:pStyle w:val="Normal"/>
        <w:rPr/>
      </w:pPr>
      <w:r>
        <w:rPr/>
        <w:t>3.  Participation Agreement between Enron North America Corp. and North Central Oil Corporation, dated May 1, 2000.</w:t>
      </w:r>
    </w:p>
    <w:p>
      <w:pPr>
        <w:pStyle w:val="Normal"/>
        <w:rPr/>
      </w:pPr>
      <w:r>
        <w:rPr/>
        <w:t>4.  Rebate Agreement between Enron North America Corp. and North Central Oil Corporation, dated May 1, 2000.</w:t>
      </w:r>
    </w:p>
    <w:p>
      <w:pPr>
        <w:pStyle w:val="Normal"/>
        <w:rPr/>
      </w:pPr>
      <w:r>
        <w:rPr/>
        <w:t>5.  Agreement Regarding North Central Oil Corporation among Lost Creek Gathering Company, L.L.C., Enron North America Corp., and Burlington Resources Trading, Inc., dated April 13, 2000.</w:t>
      </w:r>
    </w:p>
    <w:p>
      <w:pPr>
        <w:pStyle w:val="Normal"/>
        <w:rPr>
          <w:b/>
        </w:rPr>
      </w:pPr>
      <w:r>
        <w:rPr>
          <w:b/>
        </w:rPr>
      </w:r>
    </w:p>
    <w:p>
      <w:pPr>
        <w:pStyle w:val="Heading"/>
        <w:rPr>
          <w:b/>
        </w:rPr>
      </w:pPr>
      <w:r>
        <w:rPr>
          <w:b/>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0" w:leader="none"/>
        <w:tab w:val="right" w:pos="9360" w:leader="none"/>
      </w:tabs>
      <w:rPr/>
    </w:pPr>
    <w:r>
      <w:rPr>
        <w:rStyle w:val="PageNumber"/>
        <w:sz w:val="16"/>
      </w:rPr>
      <w:t>571225.3</w:t>
      <w:tab/>
    </w:r>
    <w:r>
      <w:rPr>
        <w:rStyle w:val="PageNumber"/>
        <w:i/>
        <w:sz w:val="20"/>
      </w:rPr>
      <w:t>Exhibit E-1 to Purchase and Sale Agreement</w:t>
    </w:r>
  </w:p>
  <w:p>
    <w:pPr>
      <w:pStyle w:val="Footer"/>
      <w:tabs>
        <w:tab w:val="clear" w:pos="4320"/>
        <w:tab w:val="clear" w:pos="8640"/>
        <w:tab w:val="left" w:pos="0" w:leader="none"/>
        <w:tab w:val="right" w:pos="9360" w:leader="none"/>
      </w:tabs>
      <w:rPr/>
    </w:pPr>
    <w:r>
      <w:rPr>
        <w:rStyle w:val="PageNumber"/>
        <w:i/>
        <w:sz w:val="20"/>
      </w:rPr>
      <w:tab/>
      <w:t>Assignment and Assumption Agreement</w:t>
    </w:r>
  </w:p>
  <w:p>
    <w:pPr>
      <w:pStyle w:val="Footer"/>
      <w:tabs>
        <w:tab w:val="clear" w:pos="4320"/>
        <w:tab w:val="clear" w:pos="8640"/>
        <w:tab w:val="left" w:pos="0" w:leader="none"/>
        <w:tab w:val="right" w:pos="9360" w:leader="none"/>
      </w:tabs>
      <w:rPr/>
    </w:pPr>
    <w:r>
      <w:rPr>
        <w:rStyle w:val="PageNumber"/>
        <w:i/>
        <w:sz w:val="20"/>
      </w:rPr>
      <w:tab/>
      <w:t>Draft of 9-13-00</w:t>
    </w:r>
  </w:p>
  <w:p>
    <w:pPr>
      <w:pStyle w:val="Footer"/>
      <w:tabs>
        <w:tab w:val="clear" w:pos="4320"/>
        <w:tab w:val="clear" w:pos="8640"/>
        <w:tab w:val="left" w:pos="0" w:leader="none"/>
        <w:tab w:val="right" w:pos="9360" w:leader="none"/>
      </w:tabs>
      <w:rPr/>
    </w:pPr>
    <w:r>
      <w:rPr>
        <w:rStyle w:val="PageNumbe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4</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lvl>
    <w:lvl w:ilvl="1">
      <w:start w:val="1"/>
      <w:pStyle w:val="Heading2"/>
      <w:isLgl/>
      <w:numFmt w:val="decimal"/>
      <w:lvlText w:val="%1.%2"/>
      <w:lvlJc w:val="start"/>
      <w:pPr>
        <w:tabs>
          <w:tab w:val="num" w:pos="1800"/>
        </w:tabs>
        <w:ind w:start="0" w:firstLine="1440"/>
      </w:pPr>
      <w:rPr>
        <w:sz w:val="24"/>
        <w:i w:val="false"/>
        <w:u w:val="none"/>
        <w:b w:val="false"/>
      </w:rPr>
    </w:lvl>
    <w:lvl w:ilvl="2">
      <w:start w:val="2"/>
      <w:pStyle w:val="Heading3"/>
      <w:numFmt w:val="lowerLetter"/>
      <w:lvlText w:val="(%3)"/>
      <w:lvlJc w:val="start"/>
      <w:pPr>
        <w:tabs>
          <w:tab w:val="num" w:pos="1800"/>
        </w:tabs>
        <w:ind w:start="0" w:firstLine="1440"/>
      </w:pPr>
      <w:rPr>
        <w:u w:val="none"/>
      </w:rPr>
    </w:lvl>
    <w:lvl w:ilvl="3">
      <w:start w:val="1"/>
      <w:pStyle w:val="Heading4"/>
      <w:numFmt w:val="lowerRoman"/>
      <w:lvlText w:val="(%4)"/>
      <w:lvlJc w:val="start"/>
      <w:pPr>
        <w:tabs>
          <w:tab w:val="num" w:pos="2160"/>
        </w:tabs>
        <w:ind w:start="720" w:firstLine="720"/>
      </w:pPr>
      <w:rPr>
        <w:sz w:val="24"/>
      </w:rPr>
    </w:lvl>
    <w:lvl w:ilvl="4">
      <w:start w:val="1"/>
      <w:pStyle w:val="Heading5"/>
      <w:numFmt w:val="decimal"/>
      <w:lvlText w:val="%5."/>
      <w:lvlJc w:val="start"/>
      <w:pPr>
        <w:tabs>
          <w:tab w:val="num" w:pos="1800"/>
        </w:tabs>
        <w:ind w:start="0" w:firstLine="1440"/>
      </w:pPr>
      <w:rPr/>
    </w:lvl>
    <w:lvl w:ilvl="5">
      <w:start w:val="1"/>
      <w:pStyle w:val="Heading6"/>
      <w:numFmt w:val="upperRoman"/>
      <w:lvlText w:val="(%6)"/>
      <w:lvlJc w:val="start"/>
      <w:pPr>
        <w:tabs>
          <w:tab w:val="num" w:pos="3600"/>
        </w:tabs>
        <w:ind w:start="2160" w:firstLine="720"/>
      </w:pPr>
      <w:rPr/>
    </w:lvl>
    <w:lvl w:ilvl="6">
      <w:start w:val="1"/>
      <w:pStyle w:val="Heading7"/>
      <w:numFmt w:val="lowerLetter"/>
      <w:lvlText w:val="%7."/>
      <w:lvlJc w:val="start"/>
      <w:pPr>
        <w:tabs>
          <w:tab w:val="num" w:pos="3960"/>
        </w:tabs>
        <w:ind w:start="2880" w:firstLine="720"/>
      </w:pPr>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3">
    <w:lvl w:ilvl="0">
      <w:start w:val="19"/>
      <w:numFmt w:val="lowerLetter"/>
      <w:lvlText w:val="(%1)"/>
      <w:lvlJc w:val="start"/>
      <w:pPr>
        <w:tabs>
          <w:tab w:val="num" w:pos="1800"/>
        </w:tabs>
        <w:ind w:start="1800" w:hanging="360"/>
      </w:pPr>
      <w:rPr>
        <w:u w:val="singl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9"/>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5">
    <w:lvl w:ilvl="0">
      <w:start w:val="19"/>
      <w:numFmt w:val="lowerLetter"/>
      <w:lvlText w:val="(%1)"/>
      <w:lvlJc w:val="start"/>
      <w:pPr>
        <w:tabs>
          <w:tab w:val="num" w:pos="2160"/>
        </w:tabs>
        <w:ind w:start="2160" w:hanging="2160"/>
      </w:pPr>
    </w:lvl>
    <w:lvl w:ilvl="1">
      <w:start w:val="1"/>
      <w:numFmt w:val="decimal"/>
      <w:lvlText w:val="%2"/>
      <w:lvlJc w:val="start"/>
      <w:pPr>
        <w:tabs>
          <w:tab w:val="num" w:pos="2160"/>
        </w:tabs>
        <w:ind w:start="4320" w:hanging="2160"/>
      </w:pPr>
    </w:lvl>
    <w:lvl w:ilvl="2">
      <w:start w:val="1"/>
      <w:numFmt w:val="decimal"/>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decimal"/>
      <w:lvlText w:val="%5"/>
      <w:lvlJc w:val="start"/>
      <w:pPr>
        <w:tabs>
          <w:tab w:val="num" w:pos="2160"/>
        </w:tabs>
        <w:ind w:start="10800" w:hanging="2160"/>
      </w:pPr>
    </w:lvl>
    <w:lvl w:ilvl="5">
      <w:start w:val="1"/>
      <w:numFmt w:val="decimal"/>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decimal"/>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6">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7">
    <w:lvl w:ilvl="0">
      <w:start w:val="1"/>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8">
    <w:lvl w:ilvl="0">
      <w:start w:val="14"/>
      <w:numFmt w:val="lowerLetter"/>
      <w:lvlText w:val="(%1)"/>
      <w:lvlJc w:val="start"/>
      <w:pPr>
        <w:tabs>
          <w:tab w:val="num" w:pos="2160"/>
        </w:tabs>
        <w:ind w:start="2160" w:hanging="2160"/>
      </w:pPr>
    </w:lvl>
    <w:lvl w:ilvl="1">
      <w:start w:val="1"/>
      <w:numFmt w:val="decimal"/>
      <w:lvlText w:val="%2"/>
      <w:lvlJc w:val="start"/>
      <w:pPr>
        <w:tabs>
          <w:tab w:val="num" w:pos="2160"/>
        </w:tabs>
        <w:ind w:start="4320" w:hanging="2160"/>
      </w:pPr>
    </w:lvl>
    <w:lvl w:ilvl="2">
      <w:start w:val="1"/>
      <w:numFmt w:val="decimal"/>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decimal"/>
      <w:lvlText w:val="%5"/>
      <w:lvlJc w:val="start"/>
      <w:pPr>
        <w:tabs>
          <w:tab w:val="num" w:pos="2160"/>
        </w:tabs>
        <w:ind w:start="10800" w:hanging="2160"/>
      </w:pPr>
    </w:lvl>
    <w:lvl w:ilvl="5">
      <w:start w:val="1"/>
      <w:numFmt w:val="decimal"/>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decimal"/>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9">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0">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1">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2">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1800"/>
        </w:tabs>
        <w:ind w:start="0" w:firstLine="1440"/>
      </w:pPr>
      <w:rPr>
        <w:sz w:val="24"/>
        <w:i w:val="false"/>
        <w:u w:val="none"/>
        <w:b w:val="false"/>
      </w:rPr>
    </w:lvl>
    <w:lvl w:ilvl="2">
      <w:start w:val="2"/>
      <w:numFmt w:val="lowerLetter"/>
      <w:lvlText w:val="(%3)"/>
      <w:lvlJc w:val="start"/>
      <w:pPr>
        <w:tabs>
          <w:tab w:val="num" w:pos="1800"/>
        </w:tabs>
        <w:ind w:start="0" w:firstLine="1440"/>
      </w:pPr>
      <w:rPr>
        <w:u w:val="none"/>
      </w:rPr>
    </w:lvl>
    <w:lvl w:ilvl="3">
      <w:start w:val="2"/>
      <w:numFmt w:val="lowerRoman"/>
      <w:lvlText w:val="(%4)"/>
      <w:lvlJc w:val="start"/>
      <w:pPr>
        <w:tabs>
          <w:tab w:val="num" w:pos="2160"/>
        </w:tabs>
        <w:ind w:start="720" w:firstLine="720"/>
      </w:pPr>
      <w:rPr>
        <w:sz w:val="24"/>
      </w:rPr>
    </w:lvl>
    <w:lvl w:ilvl="4">
      <w:start w:val="2"/>
      <w:numFmt w:val="decimal"/>
      <w:lvlText w:val="%5."/>
      <w:lvlJc w:val="start"/>
      <w:pPr>
        <w:tabs>
          <w:tab w:val="num" w:pos="1800"/>
        </w:tabs>
        <w:ind w:start="0" w:firstLine="1440"/>
      </w:pPr>
      <w:rPr/>
    </w:lvl>
    <w:lvl w:ilvl="5">
      <w:start w:val="1"/>
      <w:numFmt w:val="upperRoman"/>
      <w:lvlText w:val="(%6)"/>
      <w:lvlJc w:val="start"/>
      <w:pPr>
        <w:tabs>
          <w:tab w:val="num" w:pos="3600"/>
        </w:tabs>
        <w:ind w:start="2160" w:firstLine="720"/>
      </w:pPr>
      <w:rPr/>
    </w:lvl>
    <w:lvl w:ilvl="6">
      <w:start w:val="1"/>
      <w:numFmt w:val="lowerLetter"/>
      <w:lvlText w:val="%7."/>
      <w:lvlJc w:val="start"/>
      <w:pPr>
        <w:tabs>
          <w:tab w:val="num" w:pos="3960"/>
        </w:tabs>
        <w:ind w:start="2880" w:firstLine="720"/>
      </w:pPr>
      <w:rPr/>
    </w:lvl>
    <w:lvl w:ilvl="7">
      <w:start w:val="1"/>
      <w:numFmt w:val="lowerRoman"/>
      <w:lvlText w:val="%8."/>
      <w:lvlJc w:val="start"/>
      <w:pPr>
        <w:tabs>
          <w:tab w:val="num" w:pos="5040"/>
        </w:tabs>
        <w:ind w:start="3600" w:firstLine="720"/>
      </w:pPr>
      <w:rPr/>
    </w:lvl>
    <w:lvl w:ilvl="8">
      <w:start w:val="1"/>
      <w:numFmt w:val="bullet"/>
      <w:lvlText w:val=""/>
      <w:lvlJc w:val="start"/>
      <w:pPr>
        <w:tabs>
          <w:tab w:val="num" w:pos="1440"/>
        </w:tabs>
        <w:ind w:start="1440" w:hanging="72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120" w:after="240"/>
      <w:jc w:val="center"/>
      <w:outlineLvl w:val="0"/>
    </w:pPr>
    <w:rPr>
      <w:rFonts w:ascii="Times New Roman" w:hAnsi="Times New Roman" w:cs="Times New Roman"/>
      <w:b/>
      <w:sz w:val="24"/>
    </w:rPr>
  </w:style>
  <w:style w:type="paragraph" w:styleId="Heading2">
    <w:name w:val="heading 2"/>
    <w:basedOn w:val="Normal"/>
    <w:next w:val="BodyTextFirstIndent"/>
    <w:qFormat/>
    <w:pPr>
      <w:numPr>
        <w:ilvl w:val="1"/>
        <w:numId w:val="1"/>
      </w:numPr>
      <w:tabs>
        <w:tab w:val="left" w:pos="720" w:leader="none"/>
        <w:tab w:val="left" w:pos="1800" w:leader="none"/>
      </w:tabs>
      <w:outlineLvl w:val="1"/>
    </w:pPr>
    <w:rPr/>
  </w:style>
  <w:style w:type="paragraph" w:styleId="Heading3">
    <w:name w:val="heading 3"/>
    <w:basedOn w:val="Normal"/>
    <w:next w:val="BodyTextFirstIndent"/>
    <w:qFormat/>
    <w:pPr>
      <w:numPr>
        <w:ilvl w:val="2"/>
        <w:numId w:val="1"/>
      </w:numPr>
      <w:tabs>
        <w:tab w:val="left" w:pos="720" w:leader="none"/>
        <w:tab w:val="left" w:pos="1800" w:leader="none"/>
      </w:tabs>
      <w:outlineLvl w:val="2"/>
    </w:pPr>
    <w:rPr>
      <w:sz w:val="24"/>
    </w:rPr>
  </w:style>
  <w:style w:type="paragraph" w:styleId="Heading4">
    <w:name w:val="heading 4"/>
    <w:basedOn w:val="Normal"/>
    <w:next w:val="BodyText"/>
    <w:qFormat/>
    <w:pPr>
      <w:numPr>
        <w:ilvl w:val="3"/>
        <w:numId w:val="1"/>
      </w:numPr>
      <w:tabs>
        <w:tab w:val="left" w:pos="720" w:leader="none"/>
        <w:tab w:val="left" w:pos="2160" w:leader="none"/>
      </w:tabs>
      <w:outlineLvl w:val="3"/>
    </w:pPr>
    <w:rPr>
      <w:sz w:val="24"/>
    </w:rPr>
  </w:style>
  <w:style w:type="paragraph" w:styleId="Heading5">
    <w:name w:val="heading 5"/>
    <w:basedOn w:val="Normal"/>
    <w:next w:val="BodyText"/>
    <w:qFormat/>
    <w:pPr>
      <w:numPr>
        <w:ilvl w:val="4"/>
        <w:numId w:val="1"/>
      </w:numPr>
      <w:tabs>
        <w:tab w:val="left" w:pos="720" w:leader="none"/>
      </w:tabs>
      <w:outlineLvl w:val="4"/>
    </w:pPr>
    <w:rPr/>
  </w:style>
  <w:style w:type="paragraph" w:styleId="Heading6">
    <w:name w:val="heading 6"/>
    <w:basedOn w:val="Normal"/>
    <w:next w:val="BodyText"/>
    <w:qFormat/>
    <w:pPr>
      <w:numPr>
        <w:ilvl w:val="5"/>
        <w:numId w:val="1"/>
      </w:numPr>
      <w:tabs>
        <w:tab w:val="clear" w:pos="720"/>
        <w:tab w:val="left" w:pos="3600" w:leader="none"/>
      </w:tabs>
      <w:outlineLvl w:val="5"/>
    </w:pPr>
    <w:rPr>
      <w:sz w:val="24"/>
    </w:rPr>
  </w:style>
  <w:style w:type="paragraph" w:styleId="Heading7">
    <w:name w:val="heading 7"/>
    <w:basedOn w:val="Normal"/>
    <w:next w:val="BodyText"/>
    <w:qFormat/>
    <w:pPr>
      <w:numPr>
        <w:ilvl w:val="6"/>
        <w:numId w:val="1"/>
      </w:numPr>
      <w:tabs>
        <w:tab w:val="clear" w:pos="720"/>
        <w:tab w:val="left" w:pos="3960" w:leader="none"/>
      </w:tabs>
      <w:outlineLvl w:val="6"/>
    </w:pPr>
    <w:rPr>
      <w:sz w:val="24"/>
    </w:rPr>
  </w:style>
  <w:style w:type="paragraph" w:styleId="Heading8">
    <w:name w:val="heading 8"/>
    <w:basedOn w:val="Normal"/>
    <w:next w:val="BodyText"/>
    <w:qFormat/>
    <w:pPr>
      <w:numPr>
        <w:ilvl w:val="7"/>
        <w:numId w:val="1"/>
      </w:numPr>
      <w:tabs>
        <w:tab w:val="clear" w:pos="720"/>
        <w:tab w:val="left" w:pos="5040" w:leader="none"/>
      </w:tabs>
      <w:outlineLvl w:val="7"/>
    </w:pPr>
    <w:rPr>
      <w:sz w:val="24"/>
    </w:rPr>
  </w:style>
  <w:style w:type="paragraph" w:styleId="Heading9">
    <w:name w:val="heading 9"/>
    <w:basedOn w:val="Normal"/>
    <w:next w:val="BodyText"/>
    <w:qFormat/>
    <w:pPr>
      <w:numPr>
        <w:ilvl w:val="8"/>
        <w:numId w:val="1"/>
      </w:numPr>
      <w:tabs>
        <w:tab w:val="clear" w:pos="720"/>
        <w:tab w:val="left" w:pos="1440" w:leader="none"/>
      </w:tabs>
      <w:outlineLvl w:val="8"/>
    </w:pPr>
    <w:rPr>
      <w:sz w:val="24"/>
    </w:rPr>
  </w:style>
  <w:style w:type="character" w:styleId="WW8Num5z0">
    <w:name w:val="WW8Num5z0"/>
    <w:qFormat/>
    <w:rPr>
      <w:rFonts w:ascii="WP TypographicSymbols" w:hAnsi="WP TypographicSymbols" w:cs="WP TypographicSymbols"/>
    </w:rPr>
  </w:style>
  <w:style w:type="character" w:styleId="WW8Num6z0">
    <w:name w:val="WW8Num6z0"/>
    <w:qFormat/>
    <w:rPr>
      <w:rFonts w:ascii="WP TypographicSymbols" w:hAnsi="WP TypographicSymbols" w:cs="WP TypographicSymbols"/>
    </w:rPr>
  </w:style>
  <w:style w:type="character" w:styleId="WW8Num7z0">
    <w:name w:val="WW8Num7z0"/>
    <w:qFormat/>
    <w:rPr>
      <w:rFonts w:ascii="WP TypographicSymbols" w:hAnsi="WP TypographicSymbols" w:cs="WP TypographicSymbols"/>
    </w:rPr>
  </w:style>
  <w:style w:type="character" w:styleId="WW8Num8z0">
    <w:name w:val="WW8Num8z0"/>
    <w:qFormat/>
    <w:rPr>
      <w:rFonts w:ascii="WP TypographicSymbols" w:hAnsi="WP TypographicSymbols" w:cs="WP TypographicSymbols"/>
    </w:rPr>
  </w:style>
  <w:style w:type="character" w:styleId="WW8Num10z0">
    <w:name w:val="WW8Num10z0"/>
    <w:qFormat/>
    <w:rPr>
      <w:rFonts w:ascii="WP TypographicSymbols" w:hAnsi="WP TypographicSymbols" w:cs="WP TypographicSymbols"/>
    </w:rPr>
  </w:style>
  <w:style w:type="character" w:styleId="WW8Num13z0">
    <w:name w:val="WW8Num13z0"/>
    <w:qFormat/>
    <w:rPr>
      <w:u w:val="single"/>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7z1">
    <w:name w:val="WW8Num27z1"/>
    <w:qFormat/>
    <w:rPr>
      <w:b w:val="false"/>
      <w:i w:val="false"/>
      <w:sz w:val="24"/>
      <w:u w:val="none"/>
    </w:rPr>
  </w:style>
  <w:style w:type="character" w:styleId="WW8Num27z2">
    <w:name w:val="WW8Num27z2"/>
    <w:qFormat/>
    <w:rPr>
      <w:u w:val="none"/>
    </w:rPr>
  </w:style>
  <w:style w:type="character" w:styleId="WW8Num27z3">
    <w:name w:val="WW8Num27z3"/>
    <w:qFormat/>
    <w:rPr>
      <w:sz w:val="24"/>
    </w:rPr>
  </w:style>
  <w:style w:type="character" w:styleId="WW8Num27z8">
    <w:name w:val="WW8Num27z8"/>
    <w:qFormat/>
    <w:rPr>
      <w:rFonts w:ascii="Symbol" w:hAnsi="Symbol" w:cs="Symbol"/>
      <w:color w:val="auto"/>
      <w:sz w:val="28"/>
    </w:rPr>
  </w:style>
  <w:style w:type="character" w:styleId="WW8Num29z0">
    <w:name w:val="WW8Num29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WP TypographicSymbols" w:hAnsi="WP TypographicSymbols" w:cs="WP TypographicSymbols"/>
      <w:b w:val="false"/>
      <w:i w:val="false"/>
      <w:sz w:val="22"/>
      <w:u w:val="none"/>
    </w:rPr>
  </w:style>
  <w:style w:type="character" w:styleId="WW8Num35z1">
    <w:name w:val="WW8Num35z1"/>
    <w:qFormat/>
    <w:rPr>
      <w:rFonts w:ascii="WP TypographicSymbols" w:hAnsi="WP TypographicSymbols" w:cs="WP TypographicSymbols"/>
      <w:b w:val="false"/>
      <w:i w:val="false"/>
      <w:sz w:val="24"/>
      <w:u w:val="none"/>
    </w:rPr>
  </w:style>
  <w:style w:type="character" w:styleId="WW8Num35z2">
    <w:name w:val="WW8Num35z2"/>
    <w:qFormat/>
    <w:rPr/>
  </w:style>
  <w:style w:type="character" w:styleId="WW8Num35z8">
    <w:name w:val="WW8Num35z8"/>
    <w:qFormat/>
    <w:rPr>
      <w:rFonts w:ascii="WP TypographicSymbols" w:hAnsi="WP TypographicSymbols" w:cs="WP TypographicSymbols"/>
      <w:color w:val="000000"/>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50z0">
    <w:name w:val="WW8Num50z0"/>
    <w:qFormat/>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paragraph" w:styleId="Heading">
    <w:name w:val="Heading"/>
    <w:basedOn w:val="Normal"/>
    <w:next w:val="BodyText"/>
    <w:qFormat/>
    <w:pPr>
      <w:spacing w:before="0" w:after="0"/>
      <w:jc w:val="center"/>
    </w:pPr>
    <w:rPr/>
  </w:style>
  <w:style w:type="paragraph" w:styleId="BodyText">
    <w:name w:val="Body Text"/>
    <w:basedOn w:val="Normal"/>
    <w:pPr>
      <w:spacing w:before="0" w:after="240"/>
      <w:jc w:val="both"/>
    </w:pPr>
    <w:rPr>
      <w:sz w:val="24"/>
    </w:rPr>
  </w:style>
  <w:style w:type="paragraph" w:styleId="List">
    <w:name w:val="List"/>
    <w:basedOn w:val="Normal"/>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ind w:firstLine="144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spacing w:before="0" w:after="0"/>
    </w:pPr>
    <w:rPr>
      <w:sz w:val="24"/>
    </w:rPr>
  </w:style>
  <w:style w:type="paragraph" w:styleId="BodyTextIndent">
    <w:name w:val="Body Text Indent"/>
    <w:basedOn w:val="Normal"/>
    <w:pPr>
      <w:tabs>
        <w:tab w:val="clear" w:pos="720"/>
        <w:tab w:val="right" w:pos="4320" w:leader="none"/>
      </w:tabs>
      <w:spacing w:before="0" w:after="0"/>
      <w:ind w:hanging="0" w:start="1440" w:end="0"/>
    </w:pPr>
    <w:rPr>
      <w:sz w:val="24"/>
    </w:rPr>
  </w:style>
  <w:style w:type="paragraph" w:styleId="2">
    <w:name w:val="2"/>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eastAsia="zh-CN" w:bidi="hi-IN"/>
    </w:rPr>
  </w:style>
  <w:style w:type="paragraph" w:styleId="1">
    <w:name w:val="1"/>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eastAsia="zh-CN" w:bidi="hi-IN"/>
    </w:rPr>
  </w:style>
  <w:style w:type="paragraph" w:styleId="TOC9">
    <w:name w:val="toc 9"/>
    <w:basedOn w:val="Normal"/>
    <w:next w:val="Normal"/>
    <w:pPr>
      <w:tabs>
        <w:tab w:val="clear" w:pos="720"/>
        <w:tab w:val="left" w:pos="0" w:leader="none"/>
        <w:tab w:val="right" w:pos="7760" w:leader="dot"/>
      </w:tabs>
      <w:ind w:hanging="0" w:start="1599" w:end="0"/>
    </w:pPr>
    <w:rPr>
      <w:sz w:val="24"/>
    </w:rPr>
  </w:style>
  <w:style w:type="paragraph" w:styleId="TOC8">
    <w:name w:val="toc 8"/>
    <w:basedOn w:val="Normal"/>
    <w:next w:val="Normal"/>
    <w:pPr>
      <w:tabs>
        <w:tab w:val="clear" w:pos="720"/>
        <w:tab w:val="left" w:pos="0" w:leader="none"/>
        <w:tab w:val="right" w:pos="7960" w:leader="dot"/>
      </w:tabs>
      <w:ind w:hanging="0" w:start="1399" w:end="0"/>
    </w:pPr>
    <w:rPr>
      <w:sz w:val="24"/>
    </w:rPr>
  </w:style>
  <w:style w:type="paragraph" w:styleId="TOC7">
    <w:name w:val="toc 7"/>
    <w:basedOn w:val="Normal"/>
    <w:next w:val="Normal"/>
    <w:pPr>
      <w:tabs>
        <w:tab w:val="clear" w:pos="720"/>
        <w:tab w:val="left" w:pos="0" w:leader="none"/>
        <w:tab w:val="right" w:pos="8160" w:leader="dot"/>
      </w:tabs>
      <w:ind w:hanging="0" w:start="1200" w:end="0"/>
    </w:pPr>
    <w:rPr>
      <w:sz w:val="24"/>
    </w:rPr>
  </w:style>
  <w:style w:type="paragraph" w:styleId="TOC6">
    <w:name w:val="toc 6"/>
    <w:basedOn w:val="Normal"/>
    <w:next w:val="Normal"/>
    <w:pPr>
      <w:tabs>
        <w:tab w:val="clear" w:pos="720"/>
        <w:tab w:val="left" w:pos="0" w:leader="none"/>
        <w:tab w:val="right" w:pos="8360" w:leader="dot"/>
      </w:tabs>
      <w:ind w:hanging="0" w:start="999" w:end="0"/>
    </w:pPr>
    <w:rPr>
      <w:sz w:val="24"/>
    </w:rPr>
  </w:style>
  <w:style w:type="paragraph" w:styleId="TOC5">
    <w:name w:val="toc 5"/>
    <w:basedOn w:val="Normal"/>
    <w:next w:val="Normal"/>
    <w:pPr>
      <w:tabs>
        <w:tab w:val="clear" w:pos="720"/>
        <w:tab w:val="left" w:pos="0" w:leader="none"/>
        <w:tab w:val="right" w:pos="8560" w:leader="dot"/>
      </w:tabs>
      <w:ind w:hanging="0" w:start="799" w:end="0"/>
    </w:pPr>
    <w:rPr>
      <w:sz w:val="24"/>
    </w:rPr>
  </w:style>
  <w:style w:type="paragraph" w:styleId="TOC4">
    <w:name w:val="toc 4"/>
    <w:basedOn w:val="Normal"/>
    <w:next w:val="Normal"/>
    <w:pPr>
      <w:tabs>
        <w:tab w:val="clear" w:pos="720"/>
        <w:tab w:val="left" w:pos="0" w:leader="none"/>
        <w:tab w:val="right" w:pos="8760" w:leader="dot"/>
      </w:tabs>
      <w:ind w:hanging="0" w:start="600" w:end="0"/>
    </w:pPr>
    <w:rPr>
      <w:sz w:val="24"/>
    </w:rPr>
  </w:style>
  <w:style w:type="paragraph" w:styleId="TOC3">
    <w:name w:val="toc 3"/>
    <w:basedOn w:val="Normal"/>
    <w:next w:val="Normal"/>
    <w:pPr>
      <w:tabs>
        <w:tab w:val="clear" w:pos="720"/>
        <w:tab w:val="left" w:pos="0" w:leader="none"/>
        <w:tab w:val="right" w:pos="8960" w:leader="dot"/>
      </w:tabs>
      <w:ind w:hanging="0" w:start="399" w:end="0"/>
    </w:pPr>
    <w:rPr>
      <w:sz w:val="24"/>
    </w:rPr>
  </w:style>
  <w:style w:type="paragraph" w:styleId="TOC2">
    <w:name w:val="toc 2"/>
    <w:basedOn w:val="Normal"/>
    <w:next w:val="Normal"/>
    <w:pPr>
      <w:tabs>
        <w:tab w:val="clear" w:pos="720"/>
        <w:tab w:val="left" w:pos="0" w:leader="none"/>
        <w:tab w:val="right" w:pos="9160" w:leader="dot"/>
      </w:tabs>
      <w:ind w:hanging="0" w:start="199" w:end="0"/>
    </w:pPr>
    <w:rPr>
      <w:sz w:val="24"/>
    </w:rPr>
  </w:style>
  <w:style w:type="paragraph" w:styleId="TOC1">
    <w:name w:val="toc 1"/>
    <w:basedOn w:val="Normal"/>
    <w:next w:val="Normal"/>
    <w:pPr>
      <w:tabs>
        <w:tab w:val="clear" w:pos="720"/>
        <w:tab w:val="left" w:pos="0" w:leader="none"/>
        <w:tab w:val="right" w:pos="9360" w:leader="dot"/>
      </w:tabs>
    </w:pPr>
    <w:rPr>
      <w:rFonts w:ascii="Arial" w:hAnsi="Arial" w:cs="Arial"/>
      <w:sz w:val="24"/>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 w:val="24"/>
    </w:rPr>
  </w:style>
  <w:style w:type="paragraph" w:styleId="BodyTextIndent3">
    <w:name w:val="Body Text Indent 3"/>
    <w:basedOn w:val="Normal"/>
    <w:qFormat/>
    <w:pPr>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dot"/>
        <w:tab w:val="left" w:pos="7200" w:leader="none"/>
        <w:tab w:val="left" w:pos="7920" w:leader="none"/>
      </w:tabs>
      <w:ind w:firstLine="720" w:start="1440" w:end="0"/>
      <w:jc w:val="both"/>
    </w:pPr>
    <w:rPr>
      <w:sz w:val="24"/>
    </w:rPr>
  </w:style>
  <w:style w:type="paragraph" w:styleId="BodyText2">
    <w:name w:val="Body Text 2"/>
    <w:basedOn w:val="Normal"/>
    <w:qFormat/>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dot"/>
        <w:tab w:val="left" w:pos="8640" w:leader="none"/>
        <w:tab w:val="left" w:pos="9360" w:leader="none"/>
        <w:tab w:val="left" w:pos="10800" w:leader="none"/>
      </w:tabs>
    </w:pPr>
    <w:rPr>
      <w:sz w:val="24"/>
    </w:rPr>
  </w:style>
  <w:style w:type="paragraph" w:styleId="ListBullet4">
    <w:name w:val="List Bullet 4"/>
    <w:basedOn w:val="Normal"/>
    <w:pPr/>
    <w:rPr>
      <w:sz w:val="24"/>
    </w:rPr>
  </w:style>
  <w:style w:type="paragraph" w:styleId="ListBullet">
    <w:name w:val="List Bullet"/>
    <w:basedOn w:val="Normal"/>
    <w:qFormat/>
    <w:pPr>
      <w:numPr>
        <w:ilvl w:val="0"/>
        <w:numId w:val="2"/>
      </w:numPr>
      <w:tabs>
        <w:tab w:val="clear" w:pos="720"/>
      </w:tabs>
    </w:pPr>
    <w:rPr>
      <w:sz w:val="24"/>
    </w:rPr>
  </w:style>
  <w:style w:type="paragraph" w:styleId="ListBullet2">
    <w:name w:val="List Bullet 2"/>
    <w:basedOn w:val="Normal"/>
    <w:qFormat/>
    <w:pPr>
      <w:numPr>
        <w:ilvl w:val="0"/>
        <w:numId w:val="11"/>
      </w:numPr>
      <w:tabs>
        <w:tab w:val="clear" w:pos="720"/>
      </w:tabs>
    </w:pPr>
    <w:rPr>
      <w:sz w:val="24"/>
    </w:rPr>
  </w:style>
  <w:style w:type="paragraph" w:styleId="ListBullet3">
    <w:name w:val="List Bullet 3"/>
    <w:basedOn w:val="Normal"/>
    <w:qFormat/>
    <w:pPr>
      <w:numPr>
        <w:ilvl w:val="0"/>
        <w:numId w:val="6"/>
      </w:numPr>
      <w:tabs>
        <w:tab w:val="clear" w:pos="720"/>
      </w:tabs>
    </w:pPr>
    <w:rPr>
      <w:sz w:val="24"/>
    </w:rPr>
  </w:style>
  <w:style w:type="paragraph" w:styleId="ListBullet41">
    <w:name w:val="List Bullet 41"/>
    <w:basedOn w:val="Normal"/>
    <w:qFormat/>
    <w:pPr>
      <w:numPr>
        <w:ilvl w:val="0"/>
        <w:numId w:val="10"/>
      </w:numPr>
      <w:tabs>
        <w:tab w:val="clear" w:pos="720"/>
      </w:tabs>
    </w:pPr>
    <w:rPr>
      <w:sz w:val="24"/>
    </w:rPr>
  </w:style>
  <w:style w:type="paragraph" w:styleId="ListBullet5">
    <w:name w:val="List Bullet 5"/>
    <w:basedOn w:val="Normal"/>
    <w:qFormat/>
    <w:pPr>
      <w:numPr>
        <w:ilvl w:val="0"/>
        <w:numId w:val="9"/>
      </w:numPr>
      <w:tabs>
        <w:tab w:val="clear" w:pos="720"/>
      </w:tabs>
    </w:pPr>
    <w:rPr>
      <w:sz w:val="24"/>
    </w:rPr>
  </w:style>
  <w:style w:type="paragraph" w:styleId="ListNumber">
    <w:name w:val="List Number"/>
    <w:basedOn w:val="Normal"/>
    <w:qFormat/>
    <w:pPr>
      <w:numPr>
        <w:ilvl w:val="0"/>
        <w:numId w:val="3"/>
      </w:numPr>
      <w:tabs>
        <w:tab w:val="clear" w:pos="720"/>
      </w:tabs>
      <w:spacing w:before="0" w:after="240"/>
      <w:ind w:hanging="0" w:start="0" w:end="0"/>
    </w:pPr>
    <w:rPr>
      <w:sz w:val="24"/>
    </w:rPr>
  </w:style>
  <w:style w:type="paragraph" w:styleId="ListNumber2">
    <w:name w:val="List Number 2"/>
    <w:basedOn w:val="Normal"/>
    <w:qFormat/>
    <w:pPr>
      <w:numPr>
        <w:ilvl w:val="0"/>
        <w:numId w:val="8"/>
      </w:numPr>
      <w:tabs>
        <w:tab w:val="clear" w:pos="720"/>
      </w:tabs>
    </w:pPr>
    <w:rPr>
      <w:sz w:val="24"/>
    </w:rPr>
  </w:style>
  <w:style w:type="paragraph" w:styleId="ListNumber3">
    <w:name w:val="List Number 3"/>
    <w:basedOn w:val="Normal"/>
    <w:qFormat/>
    <w:pPr>
      <w:numPr>
        <w:ilvl w:val="0"/>
        <w:numId w:val="4"/>
      </w:numPr>
      <w:tabs>
        <w:tab w:val="clear" w:pos="720"/>
      </w:tabs>
    </w:pPr>
    <w:rPr>
      <w:sz w:val="24"/>
    </w:rPr>
  </w:style>
  <w:style w:type="paragraph" w:styleId="ListNumber4">
    <w:name w:val="List Number 4"/>
    <w:basedOn w:val="Normal"/>
    <w:qFormat/>
    <w:pPr>
      <w:numPr>
        <w:ilvl w:val="0"/>
        <w:numId w:val="7"/>
      </w:numPr>
      <w:tabs>
        <w:tab w:val="clear" w:pos="720"/>
      </w:tabs>
    </w:pPr>
    <w:rPr>
      <w:sz w:val="24"/>
    </w:rPr>
  </w:style>
  <w:style w:type="paragraph" w:styleId="ListNumber5">
    <w:name w:val="List Number 5"/>
    <w:basedOn w:val="Normal"/>
    <w:qFormat/>
    <w:pPr>
      <w:numPr>
        <w:ilvl w:val="0"/>
        <w:numId w:val="5"/>
      </w:numPr>
      <w:tabs>
        <w:tab w:val="clear" w:pos="720"/>
      </w:tabs>
    </w:pPr>
    <w:rPr>
      <w:sz w:val="24"/>
    </w:rPr>
  </w:style>
  <w:style w:type="paragraph" w:styleId="Signature">
    <w:name w:val="Signature"/>
    <w:basedOn w:val="Normal"/>
    <w:pPr>
      <w:tabs>
        <w:tab w:val="clear" w:pos="720"/>
        <w:tab w:val="right" w:pos="8640" w:leader="none"/>
        <w:tab w:val="right" w:pos="9360" w:leader="none"/>
      </w:tabs>
      <w:spacing w:before="0" w:after="0"/>
      <w:ind w:hanging="0" w:start="4320" w:end="0"/>
    </w:pPr>
    <w:rPr/>
  </w:style>
  <w:style w:type="paragraph" w:styleId="CommentText">
    <w:name w:val="Comment Text"/>
    <w:basedOn w:val="Normal"/>
    <w:qFormat/>
    <w:pPr/>
    <w:rPr>
      <w:sz w:val="20"/>
    </w:rPr>
  </w:style>
  <w:style w:type="paragraph" w:styleId="BodyFirstTextIndent">
    <w:name w:val="Body First Text Indent"/>
    <w:basedOn w:val="BodyText"/>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2000-09-13T20:19:00Z</dcterms:created>
  <dc:creator>A&amp;K</dc:creator>
  <dc:description>PURCHASE AND SALE AGREEMENT</dc:description>
  <dc:language>en-CA</dc:language>
  <cp:lastModifiedBy>A&amp;K</cp:lastModifiedBy>
  <cp:lastPrinted>2000-09-13T15:35:00Z</cp:lastPrinted>
  <dcterms:modified xsi:type="dcterms:W3CDTF">2000-09-13T20:19:00Z</dcterms:modified>
  <cp:revision>2</cp:revision>
  <dc:subject/>
  <dc:title>PURCHASE AND SALE AGREEMENT</dc:title>
</cp:coreProperties>
</file>