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9.9(a)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 xml:space="preserve">. </w:t>
      </w:r>
    </w:p>
    <w:p>
      <w:pPr>
        <w:pStyle w:val="BodyTextFirstIndent"/>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B</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rPr>
          <w:u w:val="single"/>
        </w:rPr>
      </w:pPr>
      <w:r>
        <w:rPr/>
        <w:t>“</w:t>
      </w:r>
      <w:r>
        <w:rPr>
          <w:u w:val="single"/>
        </w:rPr>
        <w:t>Bighorn</w:t>
      </w:r>
      <w:r>
        <w:rPr/>
        <w:t>” means Bighorn Gas Gathering, L.L.C., a Delaware limited liability company.</w:t>
      </w:r>
    </w:p>
    <w:p>
      <w:pPr>
        <w:pStyle w:val="BodyTextFirstIndent"/>
        <w:rPr/>
      </w:pPr>
      <w:r>
        <w:rPr/>
        <w:t>“</w:t>
      </w:r>
      <w:r>
        <w:rPr>
          <w:u w:val="single"/>
        </w:rPr>
        <w:t>Cash Disbursements</w:t>
      </w:r>
      <w:r>
        <w:rPr/>
        <w:t>”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general and administrative expenses (excluding Enron Corp internal allocations and capital contributions made by EWR to Lost Creek from the Reserve Amount).</w:t>
      </w:r>
    </w:p>
    <w:p>
      <w:pPr>
        <w:pStyle w:val="BodyTextFirstIndent"/>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w:t>
      </w:r>
    </w:p>
    <w:p>
      <w:pPr>
        <w:pStyle w:val="BodyTextFirstIndent"/>
        <w:rPr/>
      </w:pPr>
      <w:r>
        <w:rPr/>
        <w:t>“</w:t>
      </w:r>
      <w:r>
        <w:rPr>
          <w:u w:val="single"/>
        </w:rPr>
        <w:t>Claimant</w:t>
      </w:r>
      <w:r>
        <w:rPr/>
        <w:t xml:space="preserve">” has the meaning specified in </w:t>
      </w:r>
      <w:r>
        <w:rPr>
          <w:u w:val="single"/>
        </w:rPr>
        <w:t>Section 9.9(b)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means September 15, 2000, or such other date as may be agreed to by Seller and Purchaser.</w:t>
      </w:r>
    </w:p>
    <w:p>
      <w:pPr>
        <w:pStyle w:val="BodyTextFirstIndent"/>
        <w:rPr/>
      </w:pPr>
      <w:r>
        <w:rPr/>
        <w:t>“</w:t>
      </w:r>
      <w:r>
        <w:rPr>
          <w:u w:val="single"/>
        </w:rPr>
        <w:t>Closing Statement</w:t>
      </w:r>
      <w:r>
        <w:rPr/>
        <w:t xml:space="preserve">” has the meaning specified in </w:t>
      </w:r>
      <w:r>
        <w:rPr>
          <w:u w:val="single"/>
        </w:rPr>
        <w:t>Section 2.4</w:t>
      </w:r>
      <w:r>
        <w:rPr/>
        <w:t>.</w:t>
      </w:r>
    </w:p>
    <w:p>
      <w:pPr>
        <w:pStyle w:val="BodyTextFirstIndent"/>
        <w:rPr/>
      </w:pPr>
      <w:r>
        <w:rPr/>
        <w:t>“</w:t>
      </w:r>
      <w:r>
        <w:rPr>
          <w:u w:val="single"/>
        </w:rPr>
        <w:t>Completed Systems</w:t>
      </w:r>
      <w:r>
        <w:rPr/>
        <w:t xml:space="preserve">” means the gathering system described in Part 6 of </w:t>
      </w:r>
      <w:r>
        <w:rPr>
          <w:u w:val="single"/>
        </w:rPr>
        <w:t>Schedule 3.1(n)</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rPr/>
      </w:pPr>
      <w:r>
        <w:rPr/>
        <w:t>“</w:t>
      </w:r>
      <w:r>
        <w:rPr>
          <w:u w:val="single"/>
        </w:rPr>
        <w:t>Disclosure Schedule</w:t>
      </w:r>
      <w:r>
        <w:rPr/>
        <w:t xml:space="preserve">” means the Schedules included in the Disclosure Schedule attached hereto. </w:t>
      </w:r>
    </w:p>
    <w:p>
      <w:pPr>
        <w:pStyle w:val="BodyTextFirstIndent"/>
        <w:rPr/>
      </w:pPr>
      <w:r>
        <w:rPr/>
        <w:t>“</w:t>
      </w:r>
      <w:r>
        <w:rPr>
          <w:u w:val="single"/>
        </w:rPr>
        <w:t>Dispute</w:t>
      </w:r>
      <w:r>
        <w:rPr/>
        <w:t xml:space="preserve">” has the meaning specified in </w:t>
      </w:r>
      <w:r>
        <w:rPr>
          <w:u w:val="single"/>
        </w:rPr>
        <w:t>Section 9.9(a)</w:t>
      </w:r>
      <w:r>
        <w:rPr/>
        <w:t>.</w:t>
      </w:r>
    </w:p>
    <w:p>
      <w:pPr>
        <w:pStyle w:val="BodyTextFirstIndent"/>
        <w:rPr/>
      </w:pPr>
      <w:r>
        <w:rPr/>
        <w:t>“</w:t>
      </w:r>
      <w:r>
        <w:rPr>
          <w:u w:val="single"/>
        </w:rPr>
        <w:t>Effective Date</w:t>
      </w:r>
      <w:r>
        <w:rPr/>
        <w:t>” means 7:00 a.m., prevailing local time in the Central time zone, on July 1, 2000.</w:t>
      </w:r>
    </w:p>
    <w:p>
      <w:pPr>
        <w:pStyle w:val="BodyTextFirstIndent"/>
        <w:rPr/>
      </w:pPr>
      <w:r>
        <w:rPr/>
        <w:t>“</w:t>
      </w:r>
      <w:r>
        <w:rPr>
          <w:u w:val="single"/>
        </w:rPr>
        <w:t>EMS</w:t>
      </w:r>
      <w:r>
        <w:rPr/>
        <w:t>” is defined in the Recitals to this Agreement.</w:t>
      </w:r>
    </w:p>
    <w:p>
      <w:pPr>
        <w:pStyle w:val="BodyTextFirstIndent"/>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A</w:t>
      </w:r>
      <w:r>
        <w:rPr/>
        <w:t xml:space="preserve">, including the equipment and inventory described on </w:t>
      </w:r>
      <w:r>
        <w:rPr>
          <w:u w:val="single"/>
        </w:rPr>
        <w:t>Exhibit A</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EWR Pledge Agreement</w:t>
      </w:r>
      <w:r>
        <w:rPr/>
        <w:t xml:space="preserve">” has the meaning specified in </w:t>
      </w:r>
      <w:r>
        <w:rPr>
          <w:u w:val="single"/>
        </w:rPr>
        <w:t>Schedule 3.1(d)</w:t>
      </w:r>
      <w:r>
        <w:rPr/>
        <w:t>.</w:t>
      </w:r>
    </w:p>
    <w:p>
      <w:pPr>
        <w:pStyle w:val="BodyTextFirstIndent"/>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as of, and for the six (6) month period ending on, June 30, 2000, as set forth in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Credit Agreement</w:t>
      </w:r>
      <w:r>
        <w:rPr/>
        <w:t xml:space="preserve">” has the meaning specified in </w:t>
      </w:r>
      <w:r>
        <w:rPr>
          <w:u w:val="single"/>
        </w:rPr>
        <w:t>Schedule 1.1(a)</w:t>
      </w:r>
      <w:r>
        <w:rPr/>
        <w:t xml:space="preserve">.  </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the area in the Specified Geographical Area within 3 miles of each side of Interstate 80.</w:t>
      </w:r>
    </w:p>
    <w:p>
      <w:pPr>
        <w:pStyle w:val="BodyTextFirstIndent"/>
        <w:rPr/>
      </w:pPr>
      <w:r>
        <w:rPr/>
        <w:t>“</w:t>
      </w:r>
      <w:r>
        <w:rPr>
          <w:u w:val="single"/>
        </w:rPr>
        <w:t>Indemnified Person</w:t>
      </w:r>
      <w:r>
        <w:rPr/>
        <w:t xml:space="preserve">” has the meaning specified in </w:t>
      </w:r>
      <w:r>
        <w:rPr>
          <w:u w:val="single"/>
        </w:rPr>
        <w:t>Section 6.5(a)</w:t>
      </w:r>
      <w:r>
        <w:rPr/>
        <w:t>.</w:t>
      </w:r>
    </w:p>
    <w:p>
      <w:pPr>
        <w:pStyle w:val="BodyTextFirstIndent"/>
        <w:rPr/>
      </w:pPr>
      <w:r>
        <w:rPr/>
        <w:t>“</w:t>
      </w:r>
      <w:r>
        <w:rPr>
          <w:u w:val="single"/>
        </w:rPr>
        <w:t>Indemnifying Person</w:t>
      </w:r>
      <w:r>
        <w:rPr/>
        <w:t xml:space="preserve">” has the meaning specified in </w:t>
      </w:r>
      <w:r>
        <w:rPr>
          <w:u w:val="single"/>
        </w:rPr>
        <w:t>Section 6.5(a)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  The term “Knowledge” when used with respect to Seller and matters regarding Bighorn or the Gathering Companies does not include any obligation on the part of Seller to inquire of Bighorn or the Gathering Companies or their officers, directors, employees, or managers regarding such matters and Purchaser acknowledges that Seller has made no such inquiry.</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Credit Agreement</w:t>
      </w:r>
      <w:r>
        <w:rPr/>
        <w:t xml:space="preserve">” has the meaning specified in </w:t>
      </w:r>
      <w:r>
        <w:rPr>
          <w:u w:val="single"/>
        </w:rPr>
        <w:t>Schedule 1.1(a)</w:t>
      </w:r>
      <w:r>
        <w:rPr/>
        <w:t xml:space="preserve">.  </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Company</w:t>
      </w:r>
      <w:r>
        <w:rPr/>
        <w:t>” means NBP Services Corporation.</w:t>
      </w:r>
    </w:p>
    <w:p>
      <w:pPr>
        <w:pStyle w:val="BodyTextFirstIndent"/>
        <w:rPr/>
      </w:pPr>
      <w:r>
        <w:rPr/>
        <w:t>“</w:t>
      </w:r>
      <w:r>
        <w:rPr>
          <w:u w:val="single"/>
        </w:rPr>
        <w:t>Master Services Agreement</w:t>
      </w:r>
      <w:r>
        <w:rPr/>
        <w:t xml:space="preserve">” means the gas gathering agreement, together with the attached Services Schedules 1 through 9, to be entered into between Seller and EMS at the Closing in the form attached hereto as </w:t>
      </w:r>
      <w:r>
        <w:rPr>
          <w:u w:val="single"/>
        </w:rPr>
        <w:t>Exhibit C</w:t>
      </w:r>
      <w:r>
        <w:rPr/>
        <w:t>.</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$250,000, except as otherwise specified.</w:t>
      </w:r>
    </w:p>
    <w:p>
      <w:pPr>
        <w:pStyle w:val="BodyTextFirstIndent"/>
        <w:rPr/>
      </w:pPr>
      <w:r>
        <w:rPr/>
        <w:t>“</w:t>
      </w:r>
      <w:r>
        <w:rPr>
          <w:u w:val="single"/>
        </w:rPr>
        <w:t>Material Adverse Effect</w:t>
      </w:r>
      <w:r>
        <w:rPr/>
        <w:t>” means: (a) when used with respect to a Transferred Company, a result or consequence that would materially adversely affect the condition (financial or otherwise), business prospects, results of operations or business of the Transferred Company, or the value of its assets or would materially impair the ability of the Transferred Company to own, hold, develop and operate its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NCO Agreements</w:t>
      </w:r>
      <w:r>
        <w:rPr/>
        <w:t xml:space="preserve">” means the agreements described in </w:t>
      </w:r>
      <w:r>
        <w:rPr>
          <w:u w:val="single"/>
        </w:rPr>
        <w:t>Schedule 1.1(d)</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 collectively.</w:t>
      </w:r>
    </w:p>
    <w:p>
      <w:pPr>
        <w:pStyle w:val="BodyTextFirstIndent"/>
        <w:rPr/>
      </w:pPr>
      <w:r>
        <w:rPr/>
        <w:t>“</w:t>
      </w:r>
      <w:r>
        <w:rPr>
          <w:u w:val="single"/>
        </w:rPr>
        <w:t>Party</w:t>
      </w:r>
      <w:r>
        <w:rPr/>
        <w:t>” means Seller or Purchaser, individually.</w:t>
      </w:r>
    </w:p>
    <w:p>
      <w:pPr>
        <w:pStyle w:val="BodyTextFirstIndent"/>
        <w:rPr/>
      </w:pPr>
      <w:r>
        <w:rPr/>
        <w:t>“</w:t>
      </w:r>
      <w:r>
        <w:rPr>
          <w:u w:val="single"/>
        </w:rPr>
        <w:t>Permits</w:t>
      </w:r>
      <w:r>
        <w:rPr/>
        <w:t xml:space="preserve">” shall have the meaning specified in </w:t>
      </w:r>
      <w:r>
        <w:rPr>
          <w:u w:val="single"/>
        </w:rPr>
        <w:t>Section 3.1(m)(ii)</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6.3</w:t>
      </w:r>
      <w:r>
        <w:rPr/>
        <w:t>.</w:t>
      </w:r>
    </w:p>
    <w:p>
      <w:pPr>
        <w:pStyle w:val="BodyTextFirstIndent"/>
        <w:rPr/>
      </w:pPr>
      <w:r>
        <w:rPr/>
        <w:t>“</w:t>
      </w:r>
      <w:r>
        <w:rPr>
          <w:u w:val="single"/>
        </w:rPr>
        <w:t>Request</w:t>
      </w:r>
      <w:r>
        <w:rPr/>
        <w:t xml:space="preserve">” has the meaning specified in </w:t>
      </w:r>
      <w:r>
        <w:rPr>
          <w:u w:val="single"/>
        </w:rPr>
        <w:t>Section 9.9(b)</w:t>
      </w:r>
      <w:r>
        <w:rPr/>
        <w:t>.</w:t>
      </w:r>
    </w:p>
    <w:p>
      <w:pPr>
        <w:pStyle w:val="BodyTextFirstIndent"/>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rPr/>
      </w:pPr>
      <w:r>
        <w:rPr/>
        <w:t>“</w:t>
      </w:r>
      <w:r>
        <w:rPr>
          <w:u w:val="single"/>
        </w:rPr>
        <w:t>Respondent</w:t>
      </w:r>
      <w:r>
        <w:rPr/>
        <w:t xml:space="preserve">” has the meaning specified in </w:t>
      </w:r>
      <w:r>
        <w:rPr>
          <w:u w:val="single"/>
        </w:rPr>
        <w:t>Section 9.9(b)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6.4</w:t>
      </w:r>
      <w:r>
        <w:rPr/>
        <w:t>.</w:t>
      </w:r>
    </w:p>
    <w:p>
      <w:pPr>
        <w:pStyle w:val="BodyTextFirstIndent"/>
        <w:rPr/>
      </w:pPr>
      <w:r>
        <w:rPr/>
        <w:t>“</w:t>
      </w:r>
      <w:r>
        <w:rPr>
          <w:u w:val="single"/>
        </w:rPr>
        <w:t>Specified Geographical Area</w:t>
      </w:r>
      <w:r>
        <w:rPr/>
        <w:t xml:space="preserve">” means the geographical area described in </w:t>
      </w:r>
      <w:r>
        <w:rPr>
          <w:u w:val="single"/>
        </w:rPr>
        <w:t>Exhibit D</w:t>
      </w:r>
      <w:r>
        <w:rPr/>
        <w:t xml:space="preserve"> hereto.</w:t>
      </w:r>
    </w:p>
    <w:p>
      <w:pPr>
        <w:pStyle w:val="BodyTextFirstIndent"/>
        <w:rPr/>
      </w:pPr>
      <w:r>
        <w:rPr/>
        <w:t>“</w:t>
      </w:r>
      <w:r>
        <w:rPr>
          <w:u w:val="single"/>
        </w:rPr>
        <w:t>Specified Project</w:t>
      </w:r>
      <w:r>
        <w:rPr/>
        <w:t xml:space="preserve">” has the meaning specified in </w:t>
      </w:r>
      <w:r>
        <w:rPr>
          <w:u w:val="single"/>
        </w:rPr>
        <w:t>Section 8.1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Term Conversion Date</w:t>
      </w:r>
      <w:r>
        <w:rPr/>
        <w:t>” has the meaning given that term in the Lost Creek Credit Agreement.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i/>
        </w:rPr>
        <w:t xml:space="preserve">[Insert provisions addressing portion of Purchase Price to be included in a promissory note.]  </w:t>
      </w:r>
      <w:r>
        <w:rPr/>
        <w:t>The “</w:t>
      </w:r>
      <w:r>
        <w:rPr>
          <w:u w:val="single"/>
        </w:rPr>
        <w:t>Adjusted Purchase Price</w:t>
      </w:r>
      <w:r>
        <w:rPr/>
        <w:t>” shall be the Purchase Price adjusted as follows:</w:t>
      </w:r>
    </w:p>
    <w:p>
      <w:pPr>
        <w:pStyle w:val="Heading4"/>
        <w:ind w:hanging="0" w:start="0"/>
        <w:rPr/>
      </w:pPr>
      <w:r>
        <w:rPr/>
        <w:t>adjusted downward by the amount of Cash Receipts after the Effective Date and prior to the Closing Date;</w:t>
      </w:r>
    </w:p>
    <w:p>
      <w:pPr>
        <w:pStyle w:val="Heading4"/>
        <w:ind w:hanging="0" w:start="0"/>
        <w:rPr/>
      </w:pPr>
      <w:r>
        <w:rPr/>
        <w:t>adjusted upward by the amount of Cash Disbursements after the Effective Date and prior to the Closing Date;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ind w:hanging="0" w:start="0"/>
        <w:rPr/>
      </w:pPr>
      <w:r>
        <w:rPr>
          <w:u w:val="single"/>
        </w:rPr>
        <w:t>Post-Closing Adjustment to the Purchase Price</w:t>
      </w:r>
      <w:r>
        <w:rPr/>
        <w:t xml:space="preserve">. </w:t>
      </w:r>
    </w:p>
    <w:p>
      <w:pPr>
        <w:pStyle w:val="Heading3"/>
        <w:ind w:hanging="0" w:start="0"/>
        <w:rPr/>
      </w:pPr>
      <w:r>
        <w:rPr/>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ind w:hanging="0" w:start="0"/>
        <w:rPr/>
      </w:pPr>
      <w:r>
        <w:rPr/>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E-1</w:t>
      </w:r>
      <w:r>
        <w:rPr/>
        <w:t>, by which the membership interests in EMS are assigned to Purchaser free and clear of all Liens except restrictions created by the Operating Agreement for EMS, the Firm Gas Gathering Agreements and the NCO Agreements are assigned to Purchaser, and Purchaser assumes the Assumed Obligations;</w:t>
      </w:r>
    </w:p>
    <w:p>
      <w:pPr>
        <w:pStyle w:val="Heading4"/>
        <w:ind w:hanging="0" w:start="0"/>
        <w:rPr/>
      </w:pPr>
      <w:r>
        <w:rPr/>
        <w:t xml:space="preserve">A duly executed Assignment and Assumption Agreement, in the form attached hereto as </w:t>
      </w:r>
      <w:r>
        <w:rPr>
          <w:u w:val="single"/>
        </w:rPr>
        <w:t>Exhibit E-2</w:t>
      </w:r>
      <w:r>
        <w:rPr/>
        <w:t>, by which the membership interests in EWR and EPR are assigned to Purchaser free and clear of all Liens except restrictions created by the Operating Agreements for EPR and EWR</w:t>
      </w:r>
    </w:p>
    <w:p>
      <w:pPr>
        <w:pStyle w:val="Heading4"/>
        <w:ind w:hanging="0" w:start="0"/>
        <w:rPr/>
      </w:pPr>
      <w:r>
        <w:rPr/>
        <w:t xml:space="preserve">A certificate in the form attached hereto as </w:t>
      </w:r>
      <w:r>
        <w:rPr>
          <w:u w:val="single"/>
        </w:rPr>
        <w:t>Exhibit F</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 xml:space="preserve">A letter duly executed by the assignors of the membership interests in EWR and EPR waiving the restrictions on dispositions of such membership interests contained in </w:t>
      </w:r>
      <w:r>
        <w:rPr>
          <w:u w:val="single"/>
        </w:rPr>
        <w:t>Section 3.03</w:t>
      </w:r>
      <w:r>
        <w:rPr/>
        <w:t xml:space="preserve"> of the Operating Agreements for EWR and EPR to the extent such restrictions apply to the transactions contemplated hereunder.</w:t>
      </w:r>
    </w:p>
    <w:p>
      <w:pPr>
        <w:pStyle w:val="Heading4"/>
        <w:ind w:hanging="0" w:start="0"/>
        <w:rPr/>
      </w:pPr>
      <w:r>
        <w:rPr/>
        <w:t>The Master Services Agreement duly executed by Seller;</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Assignment and Assumption Agreements executed by Purchaser in the forms attached hereto as </w:t>
      </w:r>
      <w:r>
        <w:rPr>
          <w:u w:val="single"/>
        </w:rPr>
        <w:t>Exhibit E-1</w:t>
      </w:r>
      <w:r>
        <w:rPr/>
        <w:t xml:space="preserve"> and Exhibit </w:t>
      </w:r>
      <w:r>
        <w:rPr>
          <w:u w:val="single"/>
        </w:rPr>
        <w:t>E-2</w:t>
      </w:r>
      <w:r>
        <w:rPr/>
        <w:t>;</w:t>
      </w:r>
    </w:p>
    <w:p>
      <w:pPr>
        <w:pStyle w:val="Heading4"/>
        <w:ind w:hanging="0" w:start="0"/>
        <w:rPr/>
      </w:pPr>
      <w:r>
        <w:rPr/>
        <w:t>The Administrative Services Agreement duly executed by Purchaser and Management Company;</w:t>
      </w:r>
    </w:p>
    <w:p>
      <w:pPr>
        <w:pStyle w:val="Heading4"/>
        <w:ind w:hanging="0" w:start="0"/>
        <w:rPr/>
      </w:pPr>
      <w:r>
        <w:rPr/>
        <w:t xml:space="preserve">A Guaranty executed by Northern Border Intermediate Limited Partnership in the form attached hereto as </w:t>
      </w:r>
      <w:r>
        <w:rPr>
          <w:u w:val="single"/>
        </w:rPr>
        <w:t>Exhibit G</w:t>
      </w:r>
      <w:r>
        <w:rPr/>
        <w:t>;</w:t>
      </w:r>
    </w:p>
    <w:p>
      <w:pPr>
        <w:pStyle w:val="Heading4"/>
        <w:ind w:hanging="0" w:start="0"/>
        <w:rPr/>
      </w:pPr>
      <w:r>
        <w:rPr/>
        <w:t>The Master Services Gathering Agreement duly executed by Purchaser;</w:t>
      </w:r>
    </w:p>
    <w:p>
      <w:pPr>
        <w:pStyle w:val="Heading4"/>
        <w:ind w:hanging="0" w:start="0"/>
        <w:rPr/>
      </w:pPr>
      <w:r>
        <w:rPr/>
        <w:t xml:space="preserve">A certificate from Purchaser in the form attached hereto as </w:t>
      </w:r>
      <w:r>
        <w:rPr>
          <w:u w:val="single"/>
        </w:rPr>
        <w:t>Exhibit H</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of substitute credit support necessary or required to release Seller and its Affiliates from liability under the Credit Support Obligations.</w:t>
      </w:r>
    </w:p>
    <w:p>
      <w:pPr>
        <w:pStyle w:val="Heading2"/>
        <w:ind w:hanging="0" w:start="0"/>
        <w:rPr/>
      </w:pPr>
      <w:r>
        <w:rPr>
          <w:u w:val="single"/>
        </w:rPr>
        <w:t>Allocation of Purchase Price</w:t>
      </w:r>
      <w:r>
        <w:rPr/>
        <w:t xml:space="preserve">.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  The Parties shall agree upon such allocation within ninety (90) days of the Closing Date.  </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any Transferred Company.</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(ii) as shown in </w:t>
      </w:r>
      <w:r>
        <w:rPr>
          <w:u w:val="single"/>
        </w:rPr>
        <w:t>Schedule 3.1(c)</w:t>
      </w:r>
      <w:r>
        <w:rPr/>
        <w:t>, and (iii) where the failure to obtain such consent, approval, order, authorization, registration, filing or permit would not have, individually or in the aggregate, a Material Adverse Effect on any Transferred Company.</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the Lost Creek Operating Agreement).  </w:t>
      </w:r>
    </w:p>
    <w:p>
      <w:pPr>
        <w:pStyle w:val="Heading4"/>
        <w:ind w:hanging="0" w:start="0"/>
        <w:rPr/>
      </w:pPr>
      <w:r>
        <w:rPr/>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 as amended).</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any Transferred Company).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any Transferred Company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the Effective Date,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$100,000;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any Transferred Company (provided, however, that inclusion of any agreement or contract on </w:t>
      </w:r>
      <w:r>
        <w:rPr>
          <w:u w:val="single"/>
        </w:rPr>
        <w:t>Schedule 3.1(l)</w:t>
      </w:r>
      <w:r>
        <w:rPr/>
        <w:t xml:space="preserve"> does not constitute an admission that such agreement or contract is a Material Agreement).</w:t>
      </w:r>
    </w:p>
    <w:p>
      <w:pPr>
        <w:pStyle w:val="Heading4"/>
        <w:ind w:hanging="0" w:start="0"/>
        <w:rPr/>
      </w:pPr>
      <w:r>
        <w:rPr/>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any Transferred Company.</w:t>
      </w:r>
    </w:p>
    <w:p>
      <w:pPr>
        <w:pStyle w:val="Heading4"/>
        <w:ind w:hanging="0" w:start="0"/>
        <w:rPr/>
      </w:pPr>
      <w:r>
        <w:rPr/>
        <w:t xml:space="preserve">Except as set forth on </w:t>
      </w:r>
      <w:r>
        <w:rPr>
          <w:u w:val="single"/>
        </w:rPr>
        <w:t>Schedule 3.1(l)</w:t>
      </w:r>
      <w:r>
        <w:rPr/>
        <w:t>:  (A)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the Transferred Companies; (B) there is no material default or material breach under any EMS Gas Gathering Contract, Material Agreement or Other Contract by the Transferred Companies; or (C) to Seller’s knowledge, there are no material defaults or material breaches on the part of the other party to any EMS Gas Gathering Contract,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any Transferred Company.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any Transferred Company.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the Transferred Companies.</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defects or imperfections in title that would not have, individually or in the aggregate, a Material Adverse Effect on any Transferred Company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any Transferred Company.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ind w:hanging="0" w:start="0"/>
        <w:rPr/>
      </w:pPr>
      <w:r>
        <w:rPr/>
        <w:t>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ind w:hanging="0" w:start="0"/>
        <w:rPr/>
      </w:pPr>
      <w:r>
        <w:rPr/>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 and</w:t>
      </w:r>
    </w:p>
    <w:p>
      <w:pPr>
        <w:pStyle w:val="Heading4"/>
        <w:ind w:hanging="0" w:start="0"/>
        <w:rPr/>
      </w:pPr>
      <w:r>
        <w:rPr/>
        <w:t>To the Seller’s knowledge, there have been no material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BodyText"/>
        <w:rPr/>
      </w:pPr>
      <w:r>
        <w:rPr/>
      </w:r>
    </w:p>
    <w:p>
      <w:pPr>
        <w:pStyle w:val="Heading2"/>
        <w:ind w:hanging="0" w:start="0"/>
        <w:rPr/>
      </w:pPr>
      <w:r>
        <w:rPr>
          <w:u w:val="single"/>
        </w:rPr>
        <w:t>Employee Matters</w:t>
      </w:r>
      <w:r>
        <w:rPr/>
        <w:t>.</w:t>
      </w:r>
    </w:p>
    <w:p>
      <w:pPr>
        <w:pStyle w:val="Heading3"/>
        <w:ind w:hanging="0" w:start="0"/>
        <w:rPr/>
      </w:pPr>
      <w:r>
        <w:rPr>
          <w:u w:val="single"/>
        </w:rPr>
        <w:t>Administrative Services Agreement</w:t>
      </w:r>
      <w:r>
        <w:rPr/>
        <w:t>.  Purchaser shall cause the Management Company to enter into the Administrative Services Agreement with Purchaser at the Closing.</w:t>
      </w:r>
    </w:p>
    <w:p>
      <w:pPr>
        <w:pStyle w:val="Heading3"/>
        <w:ind w:hanging="0" w:start="0"/>
        <w:rPr/>
      </w:pPr>
      <w:r>
        <w:rPr>
          <w:u w:val="single"/>
        </w:rPr>
        <w:t>Employment</w:t>
      </w:r>
      <w:r>
        <w:rPr/>
        <w:t xml:space="preserve">.  Purchaser shall cause the Management Company to make offers of employment to certain employees of Seller agreed to by the Parties.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ind w:hanging="0" w:start="0"/>
        <w:rPr/>
      </w:pP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ind w:hanging="0" w:start="0"/>
        <w:rPr/>
      </w:pPr>
      <w:r>
        <w:rPr>
          <w:u w:val="single"/>
        </w:rPr>
        <w:t>Changes in Business</w:t>
      </w:r>
      <w:r>
        <w:rPr/>
        <w:t>.  Seller shall cause each Transferred Company to comply with the following:</w:t>
      </w:r>
    </w:p>
    <w:p>
      <w:pPr>
        <w:pStyle w:val="Heading4"/>
        <w:ind w:hanging="0" w:start="0"/>
        <w:rPr/>
      </w:pPr>
      <w:r>
        <w:rPr/>
        <w:t>each Transferred Company shall not make any material change in the conduct of its business or operations;</w:t>
      </w:r>
    </w:p>
    <w:p>
      <w:pPr>
        <w:pStyle w:val="Heading4"/>
        <w:tabs>
          <w:tab w:val="left" w:pos="2880" w:leader="none"/>
        </w:tabs>
        <w:ind w:hanging="0" w:start="0"/>
        <w:rPr/>
      </w:pPr>
      <w:r>
        <w:rPr/>
        <w:t>except in the ordinary course of business and consistent with past practices, each Transferred Company shall not enter into, assign, terminate, or amend, in any material respect, any Material Agreement;</w:t>
      </w:r>
    </w:p>
    <w:p>
      <w:pPr>
        <w:pStyle w:val="Heading4"/>
        <w:tabs>
          <w:tab w:val="left" w:pos="2880" w:leader="none"/>
        </w:tabs>
        <w:ind w:hanging="0" w:start="0"/>
        <w:rPr/>
      </w:pPr>
      <w:r>
        <w:rPr/>
        <w:t>each Transferred Company shall not:</w:t>
      </w:r>
    </w:p>
    <w:p>
      <w:pPr>
        <w:pStyle w:val="Heading5"/>
        <w:ind w:hanging="0" w:start="0"/>
        <w:rPr/>
      </w:pPr>
      <w:r>
        <w:rPr/>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ind w:hanging="0" w:start="0"/>
        <w:rPr/>
      </w:pPr>
      <w:r>
        <w:rPr/>
        <w:t>merge into or with or consolidate with any other corporation or acquire all or substantially all of the business or assets of any corporation or other Person;</w:t>
      </w:r>
    </w:p>
    <w:p>
      <w:pPr>
        <w:pStyle w:val="Heading5"/>
        <w:ind w:hanging="0" w:start="0"/>
        <w:rPr/>
      </w:pPr>
      <w:r>
        <w:rPr/>
        <w:t>make any change in its Certificate of Formation or Operating Agreement; and</w:t>
      </w:r>
    </w:p>
    <w:p>
      <w:pPr>
        <w:pStyle w:val="Heading5"/>
        <w:ind w:hanging="0" w:start="0"/>
        <w:rPr/>
      </w:pPr>
      <w:r>
        <w:rPr/>
        <w:t>purchase any securities of any corporation or other Person, except for investments made in the ordinary course of business and consistent with prior practices;</w:t>
      </w:r>
    </w:p>
    <w:p>
      <w:pPr>
        <w:pStyle w:val="Heading4"/>
        <w:tabs>
          <w:tab w:val="left" w:pos="2880" w:leader="none"/>
        </w:tabs>
        <w:ind w:hanging="0" w:start="0"/>
        <w:rPr/>
      </w:pPr>
      <w:r>
        <w:rPr/>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tabs>
          <w:tab w:val="left" w:pos="2880" w:leader="none"/>
        </w:tabs>
        <w:ind w:hanging="0" w:start="0"/>
        <w:rPr/>
      </w:pPr>
      <w:r>
        <w:rPr/>
        <w:t>each Transferred Company shall not take any action or enter into any commitment with respect to or in contemplation of any liquidation, dissolution, recapitalization, reorganization, or other winding up of its business or operations.</w:t>
      </w:r>
    </w:p>
    <w:p>
      <w:pPr>
        <w:pStyle w:val="Heading3"/>
        <w:ind w:hanging="0" w:start="0"/>
        <w:rPr/>
      </w:pP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ind w:hanging="0" w:start="0"/>
        <w:rPr/>
      </w:pPr>
      <w:r>
        <w:rPr>
          <w:u w:val="single"/>
        </w:rPr>
        <w:t>Operations</w:t>
      </w:r>
      <w:r>
        <w:rPr/>
        <w:t>.  Seller shall:</w:t>
      </w:r>
    </w:p>
    <w:p>
      <w:pPr>
        <w:pStyle w:val="Heading4"/>
        <w:tabs>
          <w:tab w:val="left" w:pos="2880" w:leader="none"/>
        </w:tabs>
        <w:ind w:hanging="0" w:start="0"/>
        <w:rPr/>
      </w:pPr>
      <w:r>
        <w:rPr/>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tabs>
          <w:tab w:val="left" w:pos="720" w:leader="none"/>
          <w:tab w:val="left" w:pos="2880" w:leader="none"/>
        </w:tabs>
        <w:ind w:hanging="0" w:start="0"/>
        <w:rPr/>
      </w:pPr>
      <w:r>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tabs>
          <w:tab w:val="left" w:pos="720" w:leader="none"/>
          <w:tab w:val="left" w:pos="2880" w:leader="none"/>
        </w:tabs>
        <w:ind w:hanging="0" w:start="0"/>
        <w:rPr/>
      </w:pPr>
      <w:r>
        <w:rPr/>
        <w:t>cause EPR to vote in favor of the expansion of the existing gathering system of Fort Union if a vote is taken by the members of Fort Union on such matter prior to the Closing Date.</w:t>
      </w:r>
    </w:p>
    <w:p>
      <w:pPr>
        <w:pStyle w:val="Heading2"/>
        <w:ind w:hanging="0" w:start="0"/>
        <w:rPr/>
      </w:pP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ind w:hanging="0" w:start="0"/>
        <w:rPr/>
      </w:pP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ind w:hanging="0" w:start="0"/>
        <w:rPr/>
      </w:pP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ind w:hanging="0" w:start="0"/>
        <w:rPr/>
      </w:pP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ind w:hanging="0" w:start="0"/>
        <w:rPr/>
      </w:pP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ind w:hanging="0" w:start="0"/>
        <w:rPr/>
      </w:pP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ind w:hanging="0" w:start="0"/>
        <w:rPr/>
      </w:pP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ind w:hanging="0" w:start="0"/>
        <w:rPr/>
      </w:pPr>
      <w:r>
        <w:rPr>
          <w:u w:val="single"/>
        </w:rPr>
        <w:t>Lost Creek</w:t>
      </w:r>
      <w:r>
        <w:rPr/>
        <w:t>.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1"/>
        <w:ind w:hanging="0" w:start="0"/>
        <w:rPr/>
      </w:pPr>
      <w:r>
        <w:rPr/>
        <w:br/>
        <w:t>CLOSING CONDITIONS</w:t>
      </w:r>
    </w:p>
    <w:p>
      <w:pPr>
        <w:pStyle w:val="Heading2"/>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ind w:hanging="0" w:start="0"/>
        <w:rPr/>
      </w:pP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ind w:hanging="0" w:start="0"/>
        <w:rPr/>
      </w:pP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ind w:hanging="0" w:start="0"/>
        <w:rPr/>
      </w:pP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ind w:hanging="0" w:start="0"/>
        <w:rPr/>
      </w:pPr>
      <w:r>
        <w:rPr>
          <w:u w:val="single"/>
        </w:rPr>
        <w:t>Purchase Price</w:t>
      </w:r>
      <w:r>
        <w:rPr/>
        <w:t xml:space="preserve">.  Purchaser shall have delivered the Estimated Adjusted Purchase Price to Seller by wire transfer in immediately available funds. </w:t>
      </w:r>
    </w:p>
    <w:p>
      <w:pPr>
        <w:pStyle w:val="Heading3"/>
        <w:ind w:hanging="0" w:start="0"/>
        <w:rPr/>
      </w:pPr>
      <w:r>
        <w:rPr>
          <w:u w:val="single"/>
        </w:rPr>
        <w:t>Credit Support</w:t>
      </w:r>
      <w:r>
        <w:rPr/>
        <w:t>.  Purchaser shall have provided satisfactory substitute credit support, and Seller and its Affiliates shall have been released from, the Credit Support Obligations.</w:t>
      </w:r>
    </w:p>
    <w:p>
      <w:pPr>
        <w:pStyle w:val="Heading3"/>
        <w:ind w:hanging="0" w:start="0"/>
        <w:rPr>
          <w:u w:val="single"/>
        </w:rPr>
      </w:pPr>
      <w:r>
        <w:rPr>
          <w:u w:val="single"/>
        </w:rPr>
        <w:t>Board of Directors Approval</w:t>
      </w:r>
      <w:r>
        <w:rPr/>
        <w:t>.  Seller shall have received the approval of its board of directors to the transactions contemplated by this Agreement.</w:t>
      </w:r>
    </w:p>
    <w:p>
      <w:pPr>
        <w:pStyle w:val="Heading2"/>
        <w:ind w:hanging="0" w:start="0"/>
        <w:rPr/>
      </w:pP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ind w:hanging="0" w:start="0"/>
        <w:rPr/>
      </w:pP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ind w:hanging="0" w:start="0"/>
        <w:rPr/>
      </w:pP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ind w:hanging="0" w:start="0"/>
        <w:rPr/>
      </w:pP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ind w:hanging="0" w:start="0"/>
        <w:rPr/>
      </w:pP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ind w:hanging="0" w:start="0"/>
        <w:rPr/>
      </w:pPr>
      <w:r>
        <w:rPr>
          <w:u w:val="single"/>
        </w:rPr>
        <w:t>Approvals</w:t>
      </w:r>
      <w:r>
        <w:rPr/>
        <w:t>.  Purchaser shall have received the Audit Committee Approval and the approval of the Partnership Policy Committee of Northern Border Partners, L.P.</w:t>
      </w:r>
    </w:p>
    <w:p>
      <w:pPr>
        <w:pStyle w:val="Heading3"/>
        <w:ind w:hanging="0" w:start="0"/>
        <w:rPr/>
      </w:pPr>
      <w:r>
        <w:rPr>
          <w:u w:val="single"/>
        </w:rPr>
        <w:t>Tax Election</w:t>
      </w:r>
      <w:r>
        <w:rPr/>
        <w:t xml:space="preserve">.  Lost Creek and Fort Union shall have each made an election under Section 754 of the Internal Revenue Code. </w:t>
      </w:r>
    </w:p>
    <w:p>
      <w:pPr>
        <w:pStyle w:val="Heading3"/>
        <w:ind w:hanging="0" w:start="0"/>
        <w:rPr/>
      </w:pPr>
      <w:r>
        <w:rPr>
          <w:u w:val="single"/>
        </w:rPr>
        <w:t>Lender Consent</w:t>
      </w:r>
      <w:r>
        <w:rPr/>
        <w:t xml:space="preserve">.  Purchaser shall have received from its existing lenders all waivers and consents necessary to consummate the transactions contemplated by this Agreement.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ind w:hanging="0" w:start="0"/>
        <w:rPr/>
      </w:pP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ind w:hanging="0" w:start="0"/>
        <w:rPr/>
      </w:pP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ind w:hanging="0" w:start="0"/>
        <w:rPr/>
      </w:pPr>
      <w:r>
        <w:rPr>
          <w:u w:val="single"/>
        </w:rPr>
        <w:t>Notice and Defense of Third-Party Claims</w:t>
      </w:r>
      <w:r>
        <w:rPr/>
        <w:t>.</w:t>
      </w:r>
    </w:p>
    <w:p>
      <w:pPr>
        <w:pStyle w:val="Heading3"/>
        <w:keepNext w:val="true"/>
        <w:ind w:hanging="0" w:start="0"/>
        <w:rPr/>
      </w:pPr>
      <w:r>
        <w:rPr/>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ind w:hanging="0" w:start="0"/>
        <w:rPr/>
      </w:pPr>
      <w:r>
        <w:rPr>
          <w:u w:val="single"/>
        </w:rPr>
        <w:t>Limits on Indemnity Obligations</w:t>
      </w:r>
      <w:r>
        <w:rPr/>
        <w:t xml:space="preserve">.  </w:t>
      </w:r>
    </w:p>
    <w:p>
      <w:pPr>
        <w:pStyle w:val="Heading3"/>
        <w:ind w:hanging="0" w:start="0"/>
        <w:rPr/>
      </w:pPr>
      <w:r>
        <w:rPr/>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ind w:hanging="0" w:start="0"/>
        <w:rPr/>
      </w:pPr>
      <w:r>
        <w:rPr/>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ind w:hanging="0" w:start="0"/>
        <w:rPr>
          <w:b/>
        </w:rPr>
      </w:pPr>
      <w:r>
        <w:rPr>
          <w:b/>
        </w:rPr>
        <w:t xml:space="preserve">ALL RELEASES, DISCLAIMERS, LIMITATIONS ON LIABILITY, AND INDEMNITIES IN THIS AGREEMENT, INCLUDING THOSE IN THIS </w:t>
      </w:r>
      <w:r>
        <w:rPr>
          <w:b/>
          <w:u w:val="single"/>
        </w:rPr>
        <w:t>ARTICLE VI</w:t>
      </w:r>
      <w:r>
        <w:rPr>
          <w:b/>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TERMINATION</w:t>
      </w:r>
    </w:p>
    <w:p>
      <w:pPr>
        <w:pStyle w:val="Heading2"/>
        <w:ind w:hanging="0" w:start="0"/>
        <w:rPr/>
      </w:pPr>
      <w:r>
        <w:rPr>
          <w:u w:val="single"/>
        </w:rPr>
        <w:t>Termination</w:t>
      </w:r>
      <w:r>
        <w:rPr/>
        <w:t>.  This Agreement and the transactions contemplated hereby may be terminated at any time prior to the Closing:</w:t>
      </w:r>
    </w:p>
    <w:p>
      <w:pPr>
        <w:pStyle w:val="Heading3"/>
        <w:ind w:hanging="0" w:start="0"/>
        <w:rPr/>
      </w:pPr>
      <w:r>
        <w:rPr/>
        <w:t xml:space="preserve">by the written mutual consent of Seller and Purchaser; or </w:t>
      </w:r>
    </w:p>
    <w:p>
      <w:pPr>
        <w:pStyle w:val="Heading3"/>
        <w:ind w:hanging="0" w:start="0"/>
        <w:rPr/>
      </w:pPr>
      <w:r>
        <w:rPr/>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ind w:hanging="0" w:start="0"/>
        <w:rPr/>
      </w:pP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written notice to Purchaser 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 right to participate in the asset based equity portion of the Specified Project on terms that are acceptable to Seller and Purchaser.  If after the end of such period, Seller and Purchaser have failed to reach agreement on Purchaser’s participation in such Specified Project, Seller shall have no further obligations to Purchaser under this </w:t>
      </w:r>
      <w:r>
        <w:rPr>
          <w:u w:val="single"/>
        </w:rPr>
        <w:t>Section 8.1</w:t>
      </w:r>
      <w:r>
        <w:rPr/>
        <w:t xml:space="preserve"> with respect to such Specified Project.  Any Specified Project developed by Seller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 gas or other energy linked commodity transactions and producer outsourcing opportunities related to the Specified Project, including access to gathering or transportation services, on terms that are acceptable to Seller and Purchaser.  If after the end of such period, Seller and Purchaser have failed to reach agreement on Seller’s participation in such Specified Project, Purchaser shall have no further obligations to Seller under this </w:t>
      </w:r>
      <w:r>
        <w:rPr>
          <w:u w:val="single"/>
        </w:rPr>
        <w:t>Section 8.2</w:t>
      </w:r>
      <w:r>
        <w:rPr/>
        <w:t xml:space="preserve"> with respect to such Specified Project.  </w:t>
      </w:r>
    </w:p>
    <w:p>
      <w:pPr>
        <w:pStyle w:val="Heading2"/>
        <w:ind w:hanging="0" w:start="0"/>
        <w:rPr/>
      </w:pP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ind w:hanging="0" w:start="0"/>
        <w:rPr/>
      </w:pP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ind w:hanging="0" w:start="0"/>
        <w:rPr/>
      </w:pPr>
      <w:r>
        <w:rPr>
          <w:u w:val="single"/>
        </w:rPr>
        <w:t>No Limitation</w:t>
      </w:r>
      <w:r>
        <w:rPr/>
        <w:t xml:space="preserve">.  The provisions of this </w:t>
      </w:r>
      <w:r>
        <w:rPr>
          <w:u w:val="single"/>
        </w:rPr>
        <w:t>Article VIII</w:t>
      </w:r>
      <w:r>
        <w:rPr/>
        <w:t xml:space="preserve"> and the participation rights granted herein shall not limit or restrict the Seller or Purchaser from pursuing or developing transactions outside of the Specified Geographical Area.</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rPr/>
      </w:pPr>
      <w:r>
        <w:rPr>
          <w:u w:val="single"/>
        </w:rPr>
        <w:t>If to Seller</w:t>
      </w:r>
      <w:r>
        <w:rPr/>
        <w:t>:</w:t>
      </w:r>
    </w:p>
    <w:p>
      <w:pPr>
        <w:pStyle w:val="BodyTextIndent"/>
        <w:rPr/>
      </w:pPr>
      <w:r>
        <w:rPr/>
        <w:t>Enron North America Corp.</w:t>
      </w:r>
    </w:p>
    <w:p>
      <w:pPr>
        <w:pStyle w:val="BodyTextIndent"/>
        <w:rPr/>
      </w:pPr>
      <w:r>
        <w:rPr/>
        <w:t>1400 Smith Street</w:t>
      </w:r>
    </w:p>
    <w:p>
      <w:pPr>
        <w:pStyle w:val="BodyTextIndent"/>
        <w:rPr/>
      </w:pPr>
      <w:r>
        <w:rPr/>
        <w:t>Houston, Texas  77002</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rPr/>
      </w:pPr>
      <w:r>
        <w:rPr/>
        <w:t>NBP Energy Pipelines, L.L.C.</w:t>
      </w:r>
    </w:p>
    <w:p>
      <w:pPr>
        <w:pStyle w:val="BodyTextIndent"/>
        <w:rPr/>
      </w:pPr>
      <w:r>
        <w:rPr/>
        <w:t>1111 South 103</w:t>
      </w:r>
      <w:r>
        <w:rPr>
          <w:vertAlign w:val="superscript"/>
        </w:rPr>
        <w:t>rd</w:t>
      </w:r>
      <w:r>
        <w:rPr/>
        <w:t xml:space="preserve"> Street</w:t>
      </w:r>
    </w:p>
    <w:p>
      <w:pPr>
        <w:pStyle w:val="BodyTextIndent"/>
        <w:rPr/>
      </w:pPr>
      <w:r>
        <w:rPr/>
        <w:t>Omaha, Nebraska 68124-1000</w:t>
      </w:r>
    </w:p>
    <w:p>
      <w:pPr>
        <w:pStyle w:val="BodyTextIndent"/>
        <w:rPr/>
      </w:pPr>
      <w:r>
        <w:rPr/>
        <w:t>Attention:  Mr. Robert Hill</w:t>
      </w:r>
    </w:p>
    <w:p>
      <w:pPr>
        <w:pStyle w:val="BodyTextIndent"/>
        <w:rPr/>
      </w:pPr>
      <w:r>
        <w:rPr/>
        <w:t>Telephone:  402-398-7888</w:t>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9.5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NBP ENERGY PIPELINES, L.L.C.</w:t>
      </w:r>
    </w:p>
    <w:p>
      <w:pPr>
        <w:pStyle w:val="Signature"/>
        <w:rPr>
          <w:b/>
        </w:rPr>
      </w:pPr>
      <w:r>
        <w:rPr>
          <w:b/>
        </w:rPr>
      </w:r>
    </w:p>
    <w:p>
      <w:pPr>
        <w:pStyle w:val="Signature"/>
        <w:tabs>
          <w:tab w:val="left" w:pos="4860" w:leader="none"/>
          <w:tab w:val="right" w:pos="9360" w:leader="none"/>
        </w:tabs>
        <w:rPr/>
      </w:pPr>
      <w:r>
        <w:rPr/>
        <w:t>By:</w:t>
        <w:tab/>
      </w:r>
      <w:r>
        <w:rPr>
          <w:u w:val="single"/>
        </w:rPr>
        <w:tab/>
      </w:r>
    </w:p>
    <w:p>
      <w:pPr>
        <w:pStyle w:val="Signature"/>
        <w:tabs>
          <w:tab w:val="left" w:pos="4860" w:leader="none"/>
          <w:tab w:val="right" w:pos="9360" w:leader="none"/>
        </w:tabs>
        <w:rPr/>
      </w:pPr>
      <w:r>
        <w:rPr/>
        <w:t>Name:</w:t>
      </w:r>
      <w:r>
        <w:rPr>
          <w:u w:val="single"/>
        </w:rPr>
        <w:tab/>
      </w:r>
    </w:p>
    <w:p>
      <w:pPr>
        <w:pStyle w:val="Signature"/>
        <w:tabs>
          <w:tab w:val="left" w:pos="4860" w:leader="none"/>
          <w:tab w:val="right" w:pos="9360" w:leader="none"/>
        </w:tabs>
        <w:rPr/>
      </w:pPr>
      <w:r>
        <w:rPr/>
        <w:t>Title:</w:t>
      </w:r>
      <w:r>
        <w:rPr>
          <w:u w:val="single"/>
        </w:rPr>
        <w:tab/>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EMS Gathering System</w:t>
      </w:r>
    </w:p>
    <w:p>
      <w:pPr>
        <w:pStyle w:val="BodyText"/>
        <w:rPr/>
      </w:pPr>
      <w:r>
        <w:rPr/>
        <w:t>Exhibit B</w:t>
        <w:tab/>
        <w:t>-</w:t>
        <w:tab/>
        <w:t>Administrative Services Agreement</w:t>
      </w:r>
    </w:p>
    <w:p>
      <w:pPr>
        <w:pStyle w:val="BodyText"/>
        <w:rPr/>
      </w:pPr>
      <w:r>
        <w:rPr/>
        <w:t>Exhibit C</w:t>
        <w:tab/>
        <w:t>-</w:t>
        <w:tab/>
        <w:t>Master Services Agreement</w:t>
      </w:r>
    </w:p>
    <w:p>
      <w:pPr>
        <w:pStyle w:val="BodyText"/>
        <w:rPr/>
      </w:pPr>
      <w:r>
        <w:rPr/>
        <w:t>Exhibit D</w:t>
        <w:tab/>
        <w:t>-</w:t>
        <w:tab/>
        <w:t>Description of Specified Geographical Area</w:t>
      </w:r>
    </w:p>
    <w:p>
      <w:pPr>
        <w:pStyle w:val="BodyText"/>
        <w:rPr/>
      </w:pPr>
      <w:r>
        <w:rPr/>
        <w:t>Exhibit E-1</w:t>
        <w:tab/>
        <w:t>-</w:t>
        <w:tab/>
        <w:t>Assignment and Assumption Agreement - EMS</w:t>
      </w:r>
    </w:p>
    <w:p>
      <w:pPr>
        <w:pStyle w:val="BodyText"/>
        <w:rPr/>
      </w:pPr>
      <w:r>
        <w:rPr/>
        <w:t>Exhibit E-2</w:t>
        <w:tab/>
        <w:t>-</w:t>
        <w:tab/>
        <w:t>Assignment and Assumption Agreement - EWR and EPR</w:t>
      </w:r>
    </w:p>
    <w:p>
      <w:pPr>
        <w:pStyle w:val="BodyText"/>
        <w:rPr/>
      </w:pPr>
      <w:r>
        <w:rPr/>
        <w:t>Exhibit F</w:t>
        <w:tab/>
        <w:t>-</w:t>
        <w:tab/>
        <w:t>Seller’s Officer’s Certificate</w:t>
      </w:r>
    </w:p>
    <w:p>
      <w:pPr>
        <w:pStyle w:val="BodyText"/>
        <w:rPr/>
      </w:pPr>
      <w:r>
        <w:rPr/>
        <w:t>Exhibit G</w:t>
        <w:tab/>
        <w:t>-</w:t>
        <w:tab/>
        <w:t>Guaranty</w:t>
      </w:r>
    </w:p>
    <w:p>
      <w:pPr>
        <w:pStyle w:val="BodyText"/>
        <w:rPr/>
      </w:pPr>
      <w:r>
        <w:rPr/>
        <w:t>Exhibit H</w:t>
        <w:tab/>
        <w:t>-</w:t>
        <w:tab/>
        <w:t>Purchaser’s Officer’s Certificate</w:t>
      </w:r>
    </w:p>
    <w:p>
      <w:pPr>
        <w:pStyle w:val="BodyText"/>
        <w:rPr/>
      </w:pPr>
      <w:r>
        <w:rPr/>
      </w:r>
    </w:p>
    <w:p>
      <w:pPr>
        <w:pStyle w:val="BodyText"/>
        <w:rPr/>
      </w:pPr>
      <w:r>
        <w:rPr/>
        <w:t>DISCLOSURE SCHEDULE:</w:t>
      </w:r>
    </w:p>
    <w:p>
      <w:pPr>
        <w:pStyle w:val="BodyText"/>
        <w:rPr/>
      </w:pPr>
      <w:r>
        <w:rPr/>
      </w:r>
    </w:p>
    <w:p>
      <w:pPr>
        <w:pStyle w:val="BodyText"/>
        <w:rPr/>
      </w:pPr>
      <w:r>
        <w:rPr/>
        <w:t>Schedule 1.1(a)</w:t>
        <w:tab/>
        <w:t>-</w:t>
        <w:tab/>
        <w:t>Credit Support Obligations</w:t>
      </w:r>
    </w:p>
    <w:p>
      <w:pPr>
        <w:pStyle w:val="BodyText"/>
        <w:rPr/>
      </w:pPr>
      <w:r>
        <w:rPr/>
        <w:t>Schedule 1.1(b)</w:t>
        <w:tab/>
        <w:t>-</w:t>
        <w:tab/>
        <w:t>Existing EMS Gathering Agreements</w:t>
      </w:r>
    </w:p>
    <w:p>
      <w:pPr>
        <w:pStyle w:val="BodyText"/>
        <w:rPr/>
      </w:pPr>
      <w:r>
        <w:rPr/>
        <w:t>Schedule 1.1(c)</w:t>
        <w:tab/>
        <w:t>-</w:t>
        <w:tab/>
        <w:t>Firm Gas Gathering Agreements</w:t>
      </w:r>
    </w:p>
    <w:p>
      <w:pPr>
        <w:pStyle w:val="BodyText"/>
        <w:rPr/>
      </w:pPr>
      <w:r>
        <w:rPr/>
        <w:t>Schedule 1.1(d)</w:t>
        <w:tab/>
        <w:t>-</w:t>
        <w:tab/>
        <w:t>NCO Agreements</w:t>
      </w:r>
    </w:p>
    <w:p>
      <w:pPr>
        <w:pStyle w:val="BodyText"/>
        <w:rPr/>
      </w:pPr>
      <w:r>
        <w:rPr/>
        <w:t>Schedule 1.1(e)</w:t>
        <w:tab/>
        <w:t>-</w:t>
        <w:tab/>
        <w:t>Completed Systems</w:t>
      </w:r>
    </w:p>
    <w:p>
      <w:pPr>
        <w:pStyle w:val="BodyText"/>
        <w:rPr/>
      </w:pPr>
      <w:r>
        <w:rPr/>
        <w:t>Schedule 3.1(a)</w:t>
        <w:tab/>
        <w:tab/>
        <w:t>Governmental Consents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Title to Membership Interests</w:t>
      </w:r>
    </w:p>
    <w:p>
      <w:pPr>
        <w:pStyle w:val="BodyText"/>
        <w:rPr/>
      </w:pPr>
      <w:r>
        <w:rPr/>
        <w:t>Schedule 3.1(g)</w:t>
        <w:tab/>
        <w:t>-</w:t>
        <w:tab/>
        <w:t>Capital Account Balances</w:t>
      </w:r>
    </w:p>
    <w:p>
      <w:pPr>
        <w:pStyle w:val="BodyText"/>
        <w:rPr/>
      </w:pPr>
      <w:r>
        <w:rPr/>
        <w:t>Schedule 3.1(h)</w:t>
        <w:tab/>
        <w:t>-</w:t>
        <w:tab/>
        <w:t>Business Activities</w:t>
      </w:r>
    </w:p>
    <w:p>
      <w:pPr>
        <w:pStyle w:val="BodyText"/>
        <w:rPr/>
      </w:pPr>
      <w:r>
        <w:rPr/>
        <w:t>Schedule 3.1(i)</w:t>
        <w:tab/>
        <w:t>-</w:t>
        <w:tab/>
        <w:t>Financial Statements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4.5</w:t>
        <w:tab/>
        <w:tab/>
        <w:t>-</w:t>
        <w:tab/>
        <w:t>Preclosing Matters</w:t>
      </w:r>
      <w:r>
        <w:br w:type="page"/>
      </w:r>
    </w:p>
    <w:p>
      <w:pPr>
        <w:pStyle w:val="Heading"/>
        <w:rPr/>
      </w:pPr>
      <w:r>
        <w:rPr/>
        <w:t xml:space="preserve">Schedule 1.1(a) </w:t>
      </w:r>
    </w:p>
    <w:p>
      <w:pPr>
        <w:pStyle w:val="Heading"/>
        <w:rPr/>
      </w:pPr>
      <w:r>
        <w:rPr/>
        <w:t>CREDIT SUPPORT OBLIGATIONS</w:t>
      </w:r>
    </w:p>
    <w:p>
      <w:pPr>
        <w:pStyle w:val="Heading"/>
        <w:rPr>
          <w:b w:val="false"/>
        </w:rPr>
      </w:pPr>
      <w:r>
        <w:rPr>
          <w:b w:val="false"/>
        </w:rPr>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jc w:val="both"/>
        <w:rPr/>
      </w:pPr>
      <w:r>
        <w:rPr/>
      </w:r>
    </w:p>
    <w:p>
      <w:pPr>
        <w:pStyle w:val="BlockText"/>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jc w:val="both"/>
        <w:rPr/>
      </w:pPr>
      <w:r>
        <w:rPr/>
        <w:t>The Consent to Assignment, dated as of April 16, 1999, between Enron North America Corp. and said Administrative Agent.</w:t>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jc w:val="both"/>
        <w:rPr/>
      </w:pPr>
      <w:r>
        <w:rPr/>
      </w:r>
    </w:p>
    <w:p>
      <w:pPr>
        <w:pStyle w:val="BlockText"/>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jc w:val="both"/>
        <w:rPr/>
      </w:pPr>
      <w:r>
        <w:rPr/>
        <w:t>The Consent to Assignment, dated as of September [__], 2000, between Enron North America Corp. and said Administrative Agent.</w:t>
      </w:r>
    </w:p>
    <w:p>
      <w:pPr>
        <w:pStyle w:val="ListNumber2"/>
        <w:numPr>
          <w:ilvl w:val="0"/>
          <w:numId w:val="5"/>
        </w:numPr>
        <w:tabs>
          <w:tab w:val="left" w:pos="720" w:leader="none"/>
        </w:tabs>
        <w:ind w:hanging="0" w:start="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562951.9</w:t>
      <w:tab/>
    </w:r>
    <w:r>
      <w:rPr>
        <w:i/>
        <w:sz w:val="20"/>
      </w:rPr>
      <w:t>Purchase and Sale Agreement</w:t>
    </w:r>
  </w:p>
  <w:p>
    <w:pPr>
      <w:pStyle w:val="Footer"/>
      <w:tabs>
        <w:tab w:val="clear" w:pos="4320"/>
        <w:tab w:val="clear" w:pos="8640"/>
        <w:tab w:val="right" w:pos="9360" w:leader="none"/>
      </w:tabs>
      <w:rPr>
        <w:i/>
        <w:i/>
        <w:sz w:val="20"/>
      </w:rPr>
    </w:pPr>
    <w:r>
      <w:rPr>
        <w:i/>
        <w:sz w:val="20"/>
      </w:rPr>
      <w:tab/>
      <w:t>Draft of 8-31-00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40</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Courier New" w:hAnsi="Courier New" w:cs="Courier New"/>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Courier New" w:hAnsi="Courier New" w:cs="Courier New"/>
      <w:b w:val="false"/>
      <w:i w:val="false"/>
      <w:sz w:val="22"/>
      <w:u w:val="none"/>
    </w:rPr>
  </w:style>
  <w:style w:type="character" w:styleId="WW8Num35z1">
    <w:name w:val="WW8Num35z1"/>
    <w:qFormat/>
    <w:rPr>
      <w:rFonts w:ascii="Courier New" w:hAnsi="Courier New" w:cs="Courier New"/>
      <w:b w:val="false"/>
      <w:i w:val="false"/>
      <w:sz w:val="24"/>
      <w:u w:val="none"/>
    </w:rPr>
  </w:style>
  <w:style w:type="character" w:styleId="WW8Num35z2">
    <w:name w:val="WW8Num35z2"/>
    <w:qFormat/>
    <w:rPr/>
  </w:style>
  <w:style w:type="character" w:styleId="WW8Num35z8">
    <w:name w:val="WW8Num35z8"/>
    <w:qFormat/>
    <w:rPr>
      <w:rFonts w:ascii="Courier New" w:hAnsi="Courier New" w:cs="Courier New"/>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paragraph" w:styleId="BlockText">
    <w:name w:val="Block Text"/>
    <w:basedOn w:val="Normal"/>
    <w:qFormat/>
    <w:pPr>
      <w:spacing w:before="0" w:after="12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2000-09-01T11:59:00Z</dcterms:created>
  <dc:creator>CMS Energy</dc:creator>
  <dc:description/>
  <dc:language>en-CA</dc:language>
  <cp:lastModifiedBy>A&amp;K</cp:lastModifiedBy>
  <cp:lastPrinted>2000-08-31T21:49:00Z</cp:lastPrinted>
  <dcterms:modified xsi:type="dcterms:W3CDTF">2000-09-01T11:59:00Z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