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PURCHASE AND SALE AGREEMENT</w:t>
      </w:r>
    </w:p>
    <w:p>
      <w:pPr>
        <w:pStyle w:val="BodyTextFirstIndent"/>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NBP Energy Pipelines, L.L.C., a Delaware limited liability company (“</w:t>
      </w:r>
      <w:r>
        <w:rPr>
          <w:u w:val="single"/>
        </w:rPr>
        <w:t>Purchaser</w:t>
      </w:r>
      <w:r>
        <w:rPr/>
        <w:t>”).</w:t>
      </w:r>
    </w:p>
    <w:p>
      <w:pPr>
        <w:pStyle w:val="Heading"/>
        <w:rPr/>
      </w:pPr>
      <w:r>
        <w:rPr/>
        <w:t>RECITALS</w:t>
      </w:r>
    </w:p>
    <w:p>
      <w:pPr>
        <w:pStyle w:val="BodyTextFirstIndent"/>
        <w:rPr>
          <w:b/>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Companies.  The Membership Interests, defined below, acquired by Purchaser hereunder are collectively referred to as the “</w:t>
      </w:r>
      <w:r>
        <w:rPr>
          <w:u w:val="single"/>
        </w:rPr>
        <w:t>Acquired Membership Interests</w:t>
      </w:r>
      <w:r>
        <w:rPr/>
        <w:t xml:space="preserve">.”  </w:t>
      </w:r>
    </w:p>
    <w:p>
      <w:pPr>
        <w:pStyle w:val="BodyTextFirstIndent"/>
        <w:rPr/>
      </w:pPr>
      <w:r>
        <w:rPr/>
        <w:t>NOW, THEREFORE, in consideration of the recitals and the representations, warranties and covenants set forth in this Agreement, the Parties hereby agree as follows:</w:t>
      </w:r>
    </w:p>
    <w:p>
      <w:pPr>
        <w:pStyle w:val="Heading1"/>
        <w:ind w:hanging="0" w:start="0"/>
        <w:rPr/>
      </w:pPr>
      <w:r>
        <w:rPr/>
        <w:br/>
        <w:t>DEFINITIONS</w:t>
      </w:r>
    </w:p>
    <w:p>
      <w:pPr>
        <w:pStyle w:val="Heading2"/>
        <w:ind w:hanging="0" w:start="0"/>
        <w:rPr/>
      </w:pP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rPr/>
      </w:pPr>
      <w:r>
        <w:rPr/>
        <w:t>“</w:t>
      </w:r>
      <w:r>
        <w:rPr>
          <w:u w:val="single"/>
        </w:rPr>
        <w:t>AAA</w:t>
      </w:r>
      <w:r>
        <w:rPr/>
        <w:t xml:space="preserve">” has the meaning specified in </w:t>
      </w:r>
      <w:r>
        <w:rPr>
          <w:u w:val="single"/>
        </w:rPr>
        <w:t>Section 9.9(a)</w:t>
      </w:r>
      <w:r>
        <w:rPr/>
        <w:t>.</w:t>
      </w:r>
    </w:p>
    <w:p>
      <w:pPr>
        <w:pStyle w:val="BodyTextFirstIndent"/>
        <w:rPr/>
      </w:pPr>
      <w:r>
        <w:rPr/>
        <w:t>“</w:t>
      </w:r>
      <w:r>
        <w:rPr>
          <w:u w:val="single"/>
        </w:rPr>
        <w:t>Acquired Membership Interests</w:t>
      </w:r>
      <w:r>
        <w:rPr/>
        <w:t>” has the meaning set forth in the Recitals to this Agreement.</w:t>
      </w:r>
    </w:p>
    <w:p>
      <w:pPr>
        <w:pStyle w:val="BodyTextFirstIndent"/>
        <w:rPr/>
      </w:pPr>
      <w:r>
        <w:rPr/>
        <w:t>“</w:t>
      </w:r>
      <w:r>
        <w:rPr>
          <w:u w:val="single"/>
        </w:rPr>
        <w:t>Adjusted Purchase Price</w:t>
      </w:r>
      <w:r>
        <w:rPr/>
        <w:t xml:space="preserve">” has the meaning specified in </w:t>
      </w:r>
      <w:r>
        <w:rPr>
          <w:u w:val="single"/>
        </w:rPr>
        <w:t>Section 2.2</w:t>
      </w:r>
      <w:r>
        <w:rPr/>
        <w:t xml:space="preserve">. </w:t>
      </w:r>
    </w:p>
    <w:p>
      <w:pPr>
        <w:pStyle w:val="BodyTextFirstIndent"/>
        <w:rPr/>
      </w:pPr>
      <w:r>
        <w:rPr/>
        <w:t>“</w:t>
      </w:r>
      <w:r>
        <w:rPr>
          <w:u w:val="single"/>
        </w:rPr>
        <w:t>Administrative Services Agreement</w:t>
      </w:r>
      <w:r>
        <w:rPr/>
        <w:t xml:space="preserve">” means the agreement entered into between Purchaser and Management Company at the Closing in the form attached hereto as </w:t>
      </w:r>
      <w:r>
        <w:rPr>
          <w:u w:val="single"/>
        </w:rPr>
        <w:t>Exhibit B</w:t>
      </w:r>
      <w:r>
        <w:rPr/>
        <w:t>.</w:t>
      </w:r>
    </w:p>
    <w:p>
      <w:pPr>
        <w:pStyle w:val="BodyTextFirstIndent"/>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Partners, L.P. and its subsidiaries, including Purchaser) shall not be considered Affiliates of Purchaser, and Northern Border Partners, L.P.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rPr/>
      </w:pPr>
      <w:r>
        <w:rPr/>
        <w:t>“</w:t>
      </w:r>
      <w:r>
        <w:rPr>
          <w:u w:val="single"/>
        </w:rPr>
        <w:t>Agreement</w:t>
      </w:r>
      <w:r>
        <w:rPr/>
        <w:t>” means this Purchase and Sale Agreement, as amended, supplemented or modified from time to time.</w:t>
      </w:r>
    </w:p>
    <w:p>
      <w:pPr>
        <w:pStyle w:val="BodyTextFirstIndent"/>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rPr>
          <w:u w:val="single"/>
        </w:rPr>
      </w:pPr>
      <w:r>
        <w:rPr/>
        <w:t>“</w:t>
      </w:r>
      <w:r>
        <w:rPr>
          <w:u w:val="single"/>
        </w:rPr>
        <w:t>Bighorn</w:t>
      </w:r>
      <w:r>
        <w:rPr/>
        <w:t>” means Bighorn Gas Gathering, L.L.C., a Delaware limited liability company.</w:t>
      </w:r>
    </w:p>
    <w:p>
      <w:pPr>
        <w:pStyle w:val="BodyTextFirstIndent"/>
        <w:rPr/>
      </w:pPr>
      <w:r>
        <w:rPr/>
        <w:t>“</w:t>
      </w:r>
      <w:r>
        <w:rPr>
          <w:u w:val="single"/>
        </w:rPr>
        <w:t>Cash Disbursements</w:t>
      </w:r>
      <w:r>
        <w:rPr/>
        <w:t>” means all cash payments by Seller that are attributable to the Transferred Companies that are incurred in the ordinary course of business consistent with past practices, including expenses and capital expenditures on the EMS Gathering System, capital contributions made by EMS to Bighorn, demand payments made to Fort Union and Lost Creek, employee expenses, general and administrative expenses (excluding Enron Corp internal allocations, capital contributions made by EWR to Lost Creek from the Reserve Account, and cash paid by Seller for activities related to the role of Lost Creek construction manager).</w:t>
      </w:r>
    </w:p>
    <w:p>
      <w:pPr>
        <w:pStyle w:val="BodyTextFirstIndent"/>
        <w:rPr/>
      </w:pPr>
      <w:r>
        <w:rPr/>
        <w:t>“</w:t>
      </w:r>
      <w:r>
        <w:rPr>
          <w:u w:val="single"/>
        </w:rPr>
        <w:t>Cash Receipts</w:t>
      </w:r>
      <w:r>
        <w:rPr/>
        <w:t>”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 and Quantum Energy, L.L.C., but excluding any cash received by Seller from Lost Creek for activities related to the role of Lost Creek construction manager.</w:t>
      </w:r>
    </w:p>
    <w:p>
      <w:pPr>
        <w:pStyle w:val="BodyTextFirstIndent"/>
        <w:rPr/>
      </w:pPr>
      <w:r>
        <w:rPr/>
        <w:t>“</w:t>
      </w:r>
      <w:r>
        <w:rPr>
          <w:u w:val="single"/>
        </w:rPr>
        <w:t>Claimant</w:t>
      </w:r>
      <w:r>
        <w:rPr/>
        <w:t xml:space="preserve">” has the meaning specified in </w:t>
      </w:r>
      <w:r>
        <w:rPr>
          <w:u w:val="single"/>
        </w:rPr>
        <w:t>Section 9.9(b)</w:t>
      </w:r>
      <w:r>
        <w:rPr/>
        <w:t>.</w:t>
      </w:r>
    </w:p>
    <w:p>
      <w:pPr>
        <w:pStyle w:val="BodyTextFirstIndent"/>
        <w:rPr/>
      </w:pPr>
      <w:r>
        <w:rPr/>
        <w:t>“</w:t>
      </w:r>
      <w:r>
        <w:rPr>
          <w:u w:val="single"/>
        </w:rPr>
        <w:t>Closing</w:t>
      </w:r>
      <w:r>
        <w:rPr/>
        <w:t>” means consummation of the purchase and sale of Acquired Membership Interests in accordance with the terms of this Agreement.</w:t>
      </w:r>
    </w:p>
    <w:p>
      <w:pPr>
        <w:pStyle w:val="BodyTextFirstIndent"/>
        <w:rPr/>
      </w:pPr>
      <w:r>
        <w:rPr/>
        <w:t>“</w:t>
      </w:r>
      <w:r>
        <w:rPr>
          <w:u w:val="single"/>
        </w:rPr>
        <w:t>Closing Date</w:t>
      </w:r>
      <w:r>
        <w:rPr/>
        <w:t>” means September 15, 2000, or such other date as may be agreed to by Seller and Purchaser.</w:t>
      </w:r>
    </w:p>
    <w:p>
      <w:pPr>
        <w:pStyle w:val="BodyTextFirstIndent"/>
        <w:rPr/>
      </w:pPr>
      <w:r>
        <w:rPr/>
        <w:t>“</w:t>
      </w:r>
      <w:r>
        <w:rPr>
          <w:u w:val="single"/>
        </w:rPr>
        <w:t>Closing Statement</w:t>
      </w:r>
      <w:r>
        <w:rPr/>
        <w:t xml:space="preserve">” has the meaning specified in </w:t>
      </w:r>
      <w:r>
        <w:rPr>
          <w:u w:val="single"/>
        </w:rPr>
        <w:t>Section 2.4</w:t>
      </w:r>
      <w:r>
        <w:rPr/>
        <w:t>.</w:t>
      </w:r>
    </w:p>
    <w:p>
      <w:pPr>
        <w:pStyle w:val="BodyTextFirstIndent"/>
        <w:rPr/>
      </w:pPr>
      <w:r>
        <w:rPr/>
        <w:t>“</w:t>
      </w:r>
      <w:r>
        <w:rPr>
          <w:u w:val="single"/>
        </w:rPr>
        <w:t>Completed Systems</w:t>
      </w:r>
      <w:r>
        <w:rPr/>
        <w:t xml:space="preserve">” means the gathering system described in Part 4 of </w:t>
      </w:r>
      <w:r>
        <w:rPr>
          <w:u w:val="single"/>
        </w:rPr>
        <w:t>Schedule 3.1(n)</w:t>
      </w:r>
      <w:r>
        <w:rPr/>
        <w:t>.</w:t>
      </w:r>
    </w:p>
    <w:p>
      <w:pPr>
        <w:pStyle w:val="BodyTextFirstIndent"/>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devices, owned, licensed or used by each Transferred Company, if any, in the performance and operation of its business or in connection with the provision of gathering services by a Transferred Company.</w:t>
      </w:r>
    </w:p>
    <w:p>
      <w:pPr>
        <w:pStyle w:val="BodyTextFirstIndent"/>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rPr/>
      </w:pPr>
      <w:r>
        <w:rPr/>
        <w:t>“</w:t>
      </w:r>
      <w:r>
        <w:rPr>
          <w:u w:val="single"/>
        </w:rPr>
        <w:t>Disclosure Schedule</w:t>
      </w:r>
      <w:r>
        <w:rPr/>
        <w:t xml:space="preserve">” means the Schedules included in the Disclosure Schedule attached hereto. </w:t>
      </w:r>
    </w:p>
    <w:p>
      <w:pPr>
        <w:pStyle w:val="BodyTextFirstIndent"/>
        <w:rPr/>
      </w:pPr>
      <w:r>
        <w:rPr/>
        <w:t>“</w:t>
      </w:r>
      <w:r>
        <w:rPr>
          <w:u w:val="single"/>
        </w:rPr>
        <w:t>Dispute</w:t>
      </w:r>
      <w:r>
        <w:rPr/>
        <w:t xml:space="preserve">” has the meaning specified in </w:t>
      </w:r>
      <w:r>
        <w:rPr>
          <w:u w:val="single"/>
        </w:rPr>
        <w:t>Section 9.9(a)</w:t>
      </w:r>
      <w:r>
        <w:rPr/>
        <w:t>.</w:t>
      </w:r>
    </w:p>
    <w:p>
      <w:pPr>
        <w:pStyle w:val="BodyTextFirstIndent"/>
        <w:rPr/>
      </w:pPr>
      <w:r>
        <w:rPr/>
        <w:t>“</w:t>
      </w:r>
      <w:r>
        <w:rPr>
          <w:u w:val="single"/>
        </w:rPr>
        <w:t>Effective Date</w:t>
      </w:r>
      <w:r>
        <w:rPr/>
        <w:t>” means 7:00 a.m., prevailing local time in the Central time zone, on July 1, 2000.</w:t>
      </w:r>
    </w:p>
    <w:p>
      <w:pPr>
        <w:pStyle w:val="BodyTextFirstIndent"/>
        <w:rPr/>
      </w:pPr>
      <w:r>
        <w:rPr/>
        <w:t>“</w:t>
      </w:r>
      <w:r>
        <w:rPr>
          <w:u w:val="single"/>
        </w:rPr>
        <w:t>EMS</w:t>
      </w:r>
      <w:r>
        <w:rPr/>
        <w:t>” is defined in the Recitals to this Agreement.</w:t>
      </w:r>
    </w:p>
    <w:p>
      <w:pPr>
        <w:pStyle w:val="BodyTextFirstIndent"/>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A</w:t>
      </w:r>
      <w:r>
        <w:rPr/>
        <w:t xml:space="preserve">, including the equipment and inventory described on </w:t>
      </w:r>
      <w:r>
        <w:rPr>
          <w:u w:val="single"/>
        </w:rPr>
        <w:t>Exhibit A</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rPr/>
      </w:pPr>
      <w:r>
        <w:rPr/>
        <w:t>“</w:t>
      </w:r>
      <w:r>
        <w:rPr>
          <w:u w:val="single"/>
        </w:rPr>
        <w:t>EPR</w:t>
      </w:r>
      <w:r>
        <w:rPr/>
        <w:t>” is defined in the Recitals to this Agreement.</w:t>
      </w:r>
    </w:p>
    <w:p>
      <w:pPr>
        <w:pStyle w:val="BodyTextFirstIndent"/>
        <w:rPr/>
      </w:pPr>
      <w:r>
        <w:rPr/>
        <w:t>“</w:t>
      </w:r>
      <w:r>
        <w:rPr>
          <w:u w:val="single"/>
        </w:rPr>
        <w:t>Estimated Adjusted Purchase Price</w:t>
      </w:r>
      <w:r>
        <w:rPr/>
        <w:t xml:space="preserve">” has the meaning specified in </w:t>
      </w:r>
      <w:r>
        <w:rPr>
          <w:u w:val="single"/>
        </w:rPr>
        <w:t>Section 2.4</w:t>
      </w:r>
      <w:r>
        <w:rPr/>
        <w:t>.</w:t>
      </w:r>
    </w:p>
    <w:p>
      <w:pPr>
        <w:pStyle w:val="BodyTextFirstIndent"/>
        <w:rPr/>
      </w:pPr>
      <w:r>
        <w:rPr/>
        <w:t>“</w:t>
      </w:r>
      <w:r>
        <w:rPr>
          <w:u w:val="single"/>
        </w:rPr>
        <w:t>EWR</w:t>
      </w:r>
      <w:r>
        <w:rPr/>
        <w:t>” is defined in the Recitals to this Agreement.</w:t>
      </w:r>
    </w:p>
    <w:p>
      <w:pPr>
        <w:pStyle w:val="BodyTextFirstIndent"/>
        <w:rPr/>
      </w:pPr>
      <w:r>
        <w:rPr/>
        <w:t>“</w:t>
      </w:r>
      <w:r>
        <w:rPr>
          <w:u w:val="single"/>
        </w:rPr>
        <w:t>EWR Pledge Agreement</w:t>
      </w:r>
      <w:r>
        <w:rPr/>
        <w:t xml:space="preserve">” has the meaning specified in </w:t>
      </w:r>
      <w:r>
        <w:rPr>
          <w:u w:val="single"/>
        </w:rPr>
        <w:t>Schedule 3.1(d)</w:t>
      </w:r>
      <w:r>
        <w:rPr/>
        <w:t>.</w:t>
      </w:r>
    </w:p>
    <w:p>
      <w:pPr>
        <w:pStyle w:val="BodyTextFirstIndent"/>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rPr>
          <w:b/>
        </w:rPr>
      </w:pPr>
      <w:r>
        <w:rPr/>
        <w:t>“</w:t>
      </w:r>
      <w:r>
        <w:rPr>
          <w:u w:val="single"/>
        </w:rPr>
        <w:t>Final Settlement Date</w:t>
      </w:r>
      <w:r>
        <w:rPr/>
        <w:t xml:space="preserve">” has the meaning specified in </w:t>
      </w:r>
      <w:r>
        <w:rPr>
          <w:u w:val="single"/>
        </w:rPr>
        <w:t>Section 2.5</w:t>
      </w:r>
      <w:r>
        <w:rPr/>
        <w:t>.</w:t>
      </w:r>
    </w:p>
    <w:p>
      <w:pPr>
        <w:pStyle w:val="BodyTextFirstIndent"/>
        <w:rPr/>
      </w:pPr>
      <w:r>
        <w:rPr/>
        <w:t>“</w:t>
      </w:r>
      <w:r>
        <w:rPr>
          <w:u w:val="single"/>
        </w:rPr>
        <w:t>Financial Statements</w:t>
      </w:r>
      <w:r>
        <w:rPr/>
        <w:t xml:space="preserve">” means the unaudited financial statements of each Transferred Company as of, and for the eight (8) month period ending on, August 31, 2000, as set forth in </w:t>
      </w:r>
      <w:r>
        <w:rPr>
          <w:u w:val="single"/>
        </w:rPr>
        <w:t>Schedule 3.1(i)</w:t>
      </w:r>
      <w:r>
        <w:rPr/>
        <w:t xml:space="preserve">.  </w:t>
      </w:r>
    </w:p>
    <w:p>
      <w:pPr>
        <w:pStyle w:val="BodyTextFirstIndent"/>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rPr/>
      </w:pPr>
      <w:r>
        <w:rPr/>
        <w:t>“</w:t>
      </w:r>
      <w:r>
        <w:rPr>
          <w:u w:val="single"/>
        </w:rPr>
        <w:t>Fort Union</w:t>
      </w:r>
      <w:r>
        <w:rPr/>
        <w:t xml:space="preserve">” means Fort Union Gas Gathering, L.L.C., a Delaware limited liability company.  </w:t>
      </w:r>
    </w:p>
    <w:p>
      <w:pPr>
        <w:pStyle w:val="BodyTextFirstIndent"/>
        <w:rPr/>
      </w:pPr>
      <w:r>
        <w:rPr/>
        <w:t>“</w:t>
      </w:r>
      <w:r>
        <w:rPr>
          <w:u w:val="single"/>
        </w:rPr>
        <w:t>Fort Union Credit Agreement</w:t>
      </w:r>
      <w:r>
        <w:rPr/>
        <w:t xml:space="preserve">” has the meaning specified in </w:t>
      </w:r>
      <w:r>
        <w:rPr>
          <w:u w:val="single"/>
        </w:rPr>
        <w:t>Schedule 1.1(a)</w:t>
      </w:r>
      <w:r>
        <w:rPr/>
        <w:t xml:space="preserve">.  </w:t>
      </w:r>
    </w:p>
    <w:p>
      <w:pPr>
        <w:pStyle w:val="BodyTextFirstIndent"/>
        <w:rPr/>
      </w:pPr>
      <w:r>
        <w:rPr/>
        <w:t>“</w:t>
      </w:r>
      <w:r>
        <w:rPr>
          <w:u w:val="single"/>
        </w:rPr>
        <w:t>Fort Union Operating Agreement</w:t>
      </w:r>
      <w:r>
        <w:rPr/>
        <w:t>” means the Limited Liability Company Operating Agreement of Fort Union, as amended.</w:t>
      </w:r>
    </w:p>
    <w:p>
      <w:pPr>
        <w:pStyle w:val="BodyTextFirstIndent"/>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rPr/>
      </w:pPr>
      <w:r>
        <w:rPr/>
        <w:t>“</w:t>
      </w:r>
      <w:r>
        <w:rPr>
          <w:u w:val="single"/>
        </w:rPr>
        <w:t>HSR Act</w:t>
      </w:r>
      <w:r>
        <w:rPr/>
        <w:t>” means the Hart-Scott-Rodino Antitrust Improvements Act of 1976, as amended.</w:t>
      </w:r>
    </w:p>
    <w:p>
      <w:pPr>
        <w:pStyle w:val="BodyTextFirstIndent"/>
        <w:rPr/>
      </w:pPr>
      <w:r>
        <w:rPr/>
        <w:t>“</w:t>
      </w:r>
      <w:r>
        <w:rPr>
          <w:u w:val="single"/>
        </w:rPr>
        <w:t>I-80 Corridor</w:t>
      </w:r>
      <w:r>
        <w:rPr/>
        <w:t>” means the area in the Specified Geographical Area within 3 miles of each side of Interstate 80.</w:t>
      </w:r>
    </w:p>
    <w:p>
      <w:pPr>
        <w:pStyle w:val="BodyTextFirstIndent"/>
        <w:rPr/>
      </w:pPr>
      <w:r>
        <w:rPr/>
        <w:t>“</w:t>
      </w:r>
      <w:r>
        <w:rPr>
          <w:u w:val="single"/>
        </w:rPr>
        <w:t>Indemnified Person</w:t>
      </w:r>
      <w:r>
        <w:rPr/>
        <w:t xml:space="preserve">” has the meaning specified in </w:t>
      </w:r>
      <w:r>
        <w:rPr>
          <w:u w:val="single"/>
        </w:rPr>
        <w:t>Section 6.5(a)</w:t>
      </w:r>
      <w:r>
        <w:rPr/>
        <w:t>.</w:t>
      </w:r>
    </w:p>
    <w:p>
      <w:pPr>
        <w:pStyle w:val="BodyTextFirstIndent"/>
        <w:rPr/>
      </w:pPr>
      <w:r>
        <w:rPr/>
        <w:t>“</w:t>
      </w:r>
      <w:r>
        <w:rPr>
          <w:u w:val="single"/>
        </w:rPr>
        <w:t>Indemnifying Person</w:t>
      </w:r>
      <w:r>
        <w:rPr/>
        <w:t xml:space="preserve">” has the meaning specified in </w:t>
      </w:r>
      <w:r>
        <w:rPr>
          <w:u w:val="single"/>
        </w:rPr>
        <w:t>Section 6.5(a)</w:t>
      </w:r>
      <w:r>
        <w:rPr/>
        <w:t>.</w:t>
      </w:r>
    </w:p>
    <w:p>
      <w:pPr>
        <w:pStyle w:val="BodyTextFirstIndent"/>
        <w:rPr/>
      </w:pPr>
      <w:r>
        <w:rPr/>
        <w:t>“</w:t>
      </w:r>
      <w:r>
        <w:rPr>
          <w:u w:val="single"/>
        </w:rPr>
        <w:t>Jurisdictional Laws</w:t>
      </w:r>
      <w:r>
        <w:rPr/>
        <w:t xml:space="preserve">” has the meaning specified in </w:t>
      </w:r>
      <w:r>
        <w:rPr>
          <w:u w:val="single"/>
        </w:rPr>
        <w:t>Section 3.1(m)(iii)</w:t>
      </w:r>
      <w:r>
        <w:rPr/>
        <w:t>.</w:t>
      </w:r>
    </w:p>
    <w:p>
      <w:pPr>
        <w:pStyle w:val="BodyTextFirstIndent"/>
        <w:rPr/>
      </w:pPr>
      <w:r>
        <w:rPr/>
        <w:t>“</w:t>
      </w:r>
      <w:r>
        <w:rPr>
          <w:u w:val="single"/>
        </w:rPr>
        <w:t>Knowledge</w:t>
      </w:r>
      <w:r>
        <w:rPr/>
        <w:t>,” “</w:t>
      </w:r>
      <w:r>
        <w:rPr>
          <w:u w:val="single"/>
        </w:rPr>
        <w:t>Know</w:t>
      </w:r>
      <w:r>
        <w:rPr/>
        <w:t>”</w:t>
      </w:r>
      <w:r>
        <w:rPr>
          <w:b/>
        </w:rPr>
        <w:t xml:space="preserve"> </w:t>
      </w:r>
      <w:r>
        <w:rPr/>
        <w:t>or “</w:t>
      </w:r>
      <w:r>
        <w:rPr>
          <w:u w:val="single"/>
        </w:rPr>
        <w:t>Known</w:t>
      </w:r>
      <w:r>
        <w:rPr/>
        <w:t xml:space="preserve">” (whether or not capitalized), with respect to a Person, means the actual knowledge of that Person and, where such Person is a business entity, means the actual knowledge of each of the officers, directors and managers of such entity.  </w:t>
      </w:r>
    </w:p>
    <w:p>
      <w:pPr>
        <w:pStyle w:val="BodyTextFirstIndent"/>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rPr/>
      </w:pPr>
      <w:r>
        <w:rPr/>
        <w:t>“</w:t>
      </w:r>
      <w:r>
        <w:rPr>
          <w:u w:val="single"/>
        </w:rPr>
        <w:t>Lost Creek</w:t>
      </w:r>
      <w:r>
        <w:rPr/>
        <w:t>” means Lost Creek Gas Gathering Company, L.L.C., a Delaware limited liability company.</w:t>
      </w:r>
    </w:p>
    <w:p>
      <w:pPr>
        <w:pStyle w:val="BodyTextFirstIndent"/>
        <w:rPr/>
      </w:pPr>
      <w:r>
        <w:rPr/>
        <w:t>“</w:t>
      </w:r>
      <w:r>
        <w:rPr>
          <w:u w:val="single"/>
        </w:rPr>
        <w:t>Lost Creek Credit Agreement</w:t>
      </w:r>
      <w:r>
        <w:rPr/>
        <w:t xml:space="preserve">” has the meaning specified in </w:t>
      </w:r>
      <w:r>
        <w:rPr>
          <w:u w:val="single"/>
        </w:rPr>
        <w:t>Schedule 1.1(a)</w:t>
      </w:r>
      <w:r>
        <w:rPr/>
        <w:t xml:space="preserve">.  </w:t>
      </w:r>
    </w:p>
    <w:p>
      <w:pPr>
        <w:pStyle w:val="BodyTextFirstIndent"/>
        <w:rPr/>
      </w:pPr>
      <w:r>
        <w:rPr/>
        <w:t>“</w:t>
      </w:r>
      <w:r>
        <w:rPr>
          <w:u w:val="single"/>
        </w:rPr>
        <w:t>Lost Creek Operating Agreement</w:t>
      </w:r>
      <w:r>
        <w:rPr/>
        <w:t>” means the Limited Liability Company Operating Agreement of Lost Creek.</w:t>
      </w:r>
    </w:p>
    <w:p>
      <w:pPr>
        <w:pStyle w:val="BodyTextFirstIndent"/>
        <w:rPr/>
      </w:pPr>
      <w:r>
        <w:rPr/>
        <w:t>“</w:t>
      </w:r>
      <w:r>
        <w:rPr>
          <w:u w:val="single"/>
        </w:rPr>
        <w:t>Management Company</w:t>
      </w:r>
      <w:r>
        <w:rPr/>
        <w:t>” means NBP Services Corporation.</w:t>
      </w:r>
    </w:p>
    <w:p>
      <w:pPr>
        <w:pStyle w:val="BodyTextFirstIndent"/>
        <w:rPr/>
      </w:pPr>
      <w:r>
        <w:rPr/>
        <w:t>“</w:t>
      </w:r>
      <w:r>
        <w:rPr>
          <w:u w:val="single"/>
        </w:rPr>
        <w:t>Master Services Agreement</w:t>
      </w:r>
      <w:r>
        <w:rPr/>
        <w:t xml:space="preserve">” means the agreement, together with the attached Service Schedules 1 through 9, to be entered into between Seller and Purchaser at the Closing in the form attached hereto as </w:t>
      </w:r>
      <w:r>
        <w:rPr>
          <w:u w:val="single"/>
        </w:rPr>
        <w:t>Exhibit C</w:t>
      </w:r>
      <w:r>
        <w:rPr/>
        <w:t>.</w:t>
      </w:r>
    </w:p>
    <w:p>
      <w:pPr>
        <w:pStyle w:val="BodyTextFirstIndent"/>
        <w:rPr/>
      </w:pPr>
      <w:r>
        <w:rPr/>
        <w:t>“</w:t>
      </w:r>
      <w:r>
        <w:rPr>
          <w:u w:val="single"/>
        </w:rPr>
        <w:t>Material</w:t>
      </w:r>
      <w:r>
        <w:rPr/>
        <w:t>”</w:t>
      </w:r>
      <w:r>
        <w:rPr>
          <w:b/>
        </w:rPr>
        <w:t xml:space="preserve"> </w:t>
      </w:r>
      <w:r>
        <w:rPr/>
        <w:t>or “</w:t>
      </w:r>
      <w:r>
        <w:rPr>
          <w:u w:val="single"/>
        </w:rPr>
        <w:t>Materially</w:t>
      </w:r>
      <w:r>
        <w:rPr/>
        <w:t>” (whether or not capitalized) means circumstances or results having an economic effect in excess of $250,000, except as otherwise specified.</w:t>
      </w:r>
    </w:p>
    <w:p>
      <w:pPr>
        <w:pStyle w:val="BodyTextFirstIndent"/>
        <w:rPr/>
      </w:pPr>
      <w:r>
        <w:rPr/>
        <w:t>“</w:t>
      </w:r>
      <w:r>
        <w:rPr>
          <w:u w:val="single"/>
        </w:rPr>
        <w:t>Material Adverse Effect</w:t>
      </w:r>
      <w:r>
        <w:rPr/>
        <w:t>” means: (a) when used with respect to a Transferred Company, a result or consequence that would materially adversely affect the condition (financial or otherwise), business prospects, results of operations or business of the Transferred Company, or the value of its assets or would materially impair the ability of the Transferred Company to own, hold, develop and operate its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$100,000; and (c) each contract or agreement (oral or written) that involves performance of services or delivery of goods or materials to a Transferred Company of an amount or value in excess of $100,000.</w:t>
      </w:r>
    </w:p>
    <w:p>
      <w:pPr>
        <w:pStyle w:val="BodyTextFirstIndent"/>
        <w:rPr/>
      </w:pPr>
      <w:r>
        <w:rPr/>
        <w:t>“</w:t>
      </w:r>
      <w:r>
        <w:rPr>
          <w:u w:val="single"/>
        </w:rPr>
        <w:t>Membership Interests</w:t>
      </w:r>
      <w:r>
        <w:rPr/>
        <w:t>” has the meaning (for each Transferred Company) specified in the Operating Agreement (defined below) for that Transferred Company, which includes, but is not limited to,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rPr/>
      </w:pPr>
      <w:r>
        <w:rPr/>
        <w:t>“</w:t>
      </w:r>
      <w:r>
        <w:rPr>
          <w:u w:val="single"/>
        </w:rPr>
        <w:t>NCO Agreements</w:t>
      </w:r>
      <w:r>
        <w:rPr/>
        <w:t xml:space="preserve">” means the agreements described in </w:t>
      </w:r>
      <w:r>
        <w:rPr>
          <w:u w:val="single"/>
        </w:rPr>
        <w:t>Schedule 1.1(d)</w:t>
      </w:r>
      <w:r>
        <w:rPr/>
        <w:t>.</w:t>
      </w:r>
    </w:p>
    <w:p>
      <w:pPr>
        <w:pStyle w:val="BodyTextFirstIndent"/>
        <w:rPr/>
      </w:pPr>
      <w:r>
        <w:rPr/>
        <w:t>“</w:t>
      </w:r>
      <w:r>
        <w:rPr>
          <w:u w:val="single"/>
        </w:rPr>
        <w:t>Notice of Disagreement</w:t>
      </w:r>
      <w:r>
        <w:rPr/>
        <w:t xml:space="preserve">” has the meaning specified in </w:t>
      </w:r>
      <w:r>
        <w:rPr>
          <w:u w:val="single"/>
        </w:rPr>
        <w:t>Section 2.5</w:t>
      </w:r>
      <w:r>
        <w:rPr/>
        <w:t>.</w:t>
      </w:r>
    </w:p>
    <w:p>
      <w:pPr>
        <w:pStyle w:val="BodyTextFirstIndent"/>
        <w:rPr/>
      </w:pPr>
      <w:r>
        <w:rPr/>
        <w:t>“</w:t>
      </w:r>
      <w:r>
        <w:rPr>
          <w:u w:val="single"/>
        </w:rPr>
        <w:t>Operating Agreements</w:t>
      </w:r>
      <w:r>
        <w:rPr/>
        <w:t>” means the Amended and Restated Limited Liability Company Agreement for each of the Transferred Companies.</w:t>
      </w:r>
    </w:p>
    <w:p>
      <w:pPr>
        <w:pStyle w:val="BodyTextFirstIndent"/>
        <w:rPr/>
      </w:pPr>
      <w:r>
        <w:rPr/>
        <w:t>“</w:t>
      </w:r>
      <w:r>
        <w:rPr>
          <w:u w:val="single"/>
        </w:rPr>
        <w:t>Other Contracts</w:t>
      </w:r>
      <w:r>
        <w:rPr/>
        <w:t xml:space="preserve">” has the meaning specified in </w:t>
      </w:r>
      <w:r>
        <w:rPr>
          <w:u w:val="single"/>
        </w:rPr>
        <w:t>Section 3.1(l)(ii)</w:t>
      </w:r>
      <w:r>
        <w:rPr/>
        <w:t>.</w:t>
      </w:r>
    </w:p>
    <w:p>
      <w:pPr>
        <w:pStyle w:val="BodyTextFirstIndent"/>
        <w:rPr/>
      </w:pPr>
      <w:r>
        <w:rPr/>
        <w:t>“</w:t>
      </w:r>
      <w:r>
        <w:rPr>
          <w:u w:val="single"/>
        </w:rPr>
        <w:t>Parties</w:t>
      </w:r>
      <w:r>
        <w:rPr/>
        <w:t>” means Seller and Purchaser, collectively.</w:t>
      </w:r>
    </w:p>
    <w:p>
      <w:pPr>
        <w:pStyle w:val="BodyTextFirstIndent"/>
        <w:rPr/>
      </w:pPr>
      <w:r>
        <w:rPr/>
        <w:t>“</w:t>
      </w:r>
      <w:r>
        <w:rPr>
          <w:u w:val="single"/>
        </w:rPr>
        <w:t>Party</w:t>
      </w:r>
      <w:r>
        <w:rPr/>
        <w:t>” means Seller or Purchaser, individually.</w:t>
      </w:r>
    </w:p>
    <w:p>
      <w:pPr>
        <w:pStyle w:val="BodyTextFirstIndent"/>
        <w:rPr/>
      </w:pPr>
      <w:r>
        <w:rPr/>
        <w:t>“</w:t>
      </w:r>
      <w:r>
        <w:rPr>
          <w:u w:val="single"/>
        </w:rPr>
        <w:t>Permits</w:t>
      </w:r>
      <w:r>
        <w:rPr/>
        <w:t xml:space="preserve">” shall have the meaning specified in </w:t>
      </w:r>
      <w:r>
        <w:rPr>
          <w:u w:val="single"/>
        </w:rPr>
        <w:t>Section 3.1(m)(ii)</w:t>
      </w:r>
      <w:r>
        <w:rPr/>
        <w:t>.</w:t>
      </w:r>
      <w:r>
        <w:rPr>
          <w:b/>
        </w:rPr>
        <w:t xml:space="preserve"> </w:t>
      </w:r>
    </w:p>
    <w:p>
      <w:pPr>
        <w:pStyle w:val="BodyTextFirstIndent"/>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$100,000,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rPr/>
      </w:pPr>
      <w:r>
        <w:rPr/>
        <w:t>“</w:t>
      </w:r>
      <w:r>
        <w:rPr>
          <w:u w:val="single"/>
        </w:rPr>
        <w:t>Purchase Price</w:t>
      </w:r>
      <w:r>
        <w:rPr/>
        <w:t xml:space="preserve">” has the meaning specified in </w:t>
      </w:r>
      <w:r>
        <w:rPr>
          <w:u w:val="single"/>
        </w:rPr>
        <w:t>Section 2.2</w:t>
      </w:r>
      <w:r>
        <w:rPr/>
        <w:t>.</w:t>
      </w:r>
    </w:p>
    <w:p>
      <w:pPr>
        <w:pStyle w:val="BodyTextFirstIndent"/>
        <w:rPr/>
      </w:pPr>
      <w:r>
        <w:rPr/>
        <w:t>“</w:t>
      </w:r>
      <w:r>
        <w:rPr>
          <w:u w:val="single"/>
        </w:rPr>
        <w:t>Purchaser</w:t>
      </w:r>
      <w:r>
        <w:rPr/>
        <w:t xml:space="preserve">” has the meaning specified in the introductory paragraph of this Agreement.  </w:t>
      </w:r>
    </w:p>
    <w:p>
      <w:pPr>
        <w:pStyle w:val="BodyTextFirstIndent"/>
        <w:rPr/>
      </w:pPr>
      <w:r>
        <w:rPr/>
        <w:t>“</w:t>
      </w:r>
      <w:r>
        <w:rPr>
          <w:u w:val="single"/>
        </w:rPr>
        <w:t>Purchaser Indemnitees</w:t>
      </w:r>
      <w:r>
        <w:rPr/>
        <w:t xml:space="preserve">” has the meaning specified in </w:t>
      </w:r>
      <w:r>
        <w:rPr>
          <w:u w:val="single"/>
        </w:rPr>
        <w:t>Section 6.3</w:t>
      </w:r>
      <w:r>
        <w:rPr/>
        <w:t>.</w:t>
      </w:r>
    </w:p>
    <w:p>
      <w:pPr>
        <w:pStyle w:val="BodyTextFirstIndent"/>
        <w:rPr/>
      </w:pPr>
      <w:r>
        <w:rPr/>
        <w:t>“</w:t>
      </w:r>
      <w:r>
        <w:rPr>
          <w:u w:val="single"/>
        </w:rPr>
        <w:t>Request</w:t>
      </w:r>
      <w:r>
        <w:rPr/>
        <w:t xml:space="preserve">” has the meaning specified in </w:t>
      </w:r>
      <w:r>
        <w:rPr>
          <w:u w:val="single"/>
        </w:rPr>
        <w:t>Section 9.9(b)</w:t>
      </w:r>
      <w:r>
        <w:rPr/>
        <w:t>.</w:t>
      </w:r>
    </w:p>
    <w:p>
      <w:pPr>
        <w:pStyle w:val="BodyTextFirstIndent"/>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rPr/>
      </w:pPr>
      <w:r>
        <w:rPr/>
        <w:t>“</w:t>
      </w:r>
      <w:r>
        <w:rPr>
          <w:u w:val="single"/>
        </w:rPr>
        <w:t>Respondent</w:t>
      </w:r>
      <w:r>
        <w:rPr/>
        <w:t xml:space="preserve">” has the meaning specified in </w:t>
      </w:r>
      <w:r>
        <w:rPr>
          <w:u w:val="single"/>
        </w:rPr>
        <w:t>Section 9.9(b)</w:t>
      </w:r>
      <w:r>
        <w:rPr/>
        <w:t>.</w:t>
      </w:r>
    </w:p>
    <w:p>
      <w:pPr>
        <w:pStyle w:val="BodyTextFirstIndent"/>
        <w:rPr/>
      </w:pPr>
      <w:r>
        <w:rPr/>
        <w:t>“</w:t>
      </w:r>
      <w:r>
        <w:rPr>
          <w:u w:val="single"/>
        </w:rPr>
        <w:t>Seller</w:t>
      </w:r>
      <w:r>
        <w:rPr/>
        <w:t>” has the meaning set forth in the introductory paragraph of this Agreement.</w:t>
      </w:r>
    </w:p>
    <w:p>
      <w:pPr>
        <w:pStyle w:val="BodyTextFirstIndent"/>
        <w:rPr/>
      </w:pPr>
      <w:r>
        <w:rPr/>
        <w:t>“</w:t>
      </w:r>
      <w:r>
        <w:rPr>
          <w:u w:val="single"/>
        </w:rPr>
        <w:t>Seller Indemnitees</w:t>
      </w:r>
      <w:r>
        <w:rPr/>
        <w:t xml:space="preserve">” has the meaning specified in </w:t>
      </w:r>
      <w:r>
        <w:rPr>
          <w:u w:val="single"/>
        </w:rPr>
        <w:t>Section 6.4</w:t>
      </w:r>
      <w:r>
        <w:rPr/>
        <w:t>.</w:t>
      </w:r>
    </w:p>
    <w:p>
      <w:pPr>
        <w:pStyle w:val="BodyTextFirstIndent"/>
        <w:rPr/>
      </w:pPr>
      <w:r>
        <w:rPr/>
        <w:t>“</w:t>
      </w:r>
      <w:r>
        <w:rPr>
          <w:u w:val="single"/>
        </w:rPr>
        <w:t>Specified Geographical Area</w:t>
      </w:r>
      <w:r>
        <w:rPr/>
        <w:t xml:space="preserve">” means the geographical area described in </w:t>
      </w:r>
      <w:r>
        <w:rPr>
          <w:u w:val="single"/>
        </w:rPr>
        <w:t>Exhibit D</w:t>
      </w:r>
      <w:r>
        <w:rPr/>
        <w:t xml:space="preserve"> hereto.</w:t>
      </w:r>
    </w:p>
    <w:p>
      <w:pPr>
        <w:pStyle w:val="BodyTextFirstIndent"/>
        <w:rPr/>
      </w:pPr>
      <w:r>
        <w:rPr/>
        <w:t>“</w:t>
      </w:r>
      <w:r>
        <w:rPr>
          <w:u w:val="single"/>
        </w:rPr>
        <w:t>Specified Project</w:t>
      </w:r>
      <w:r>
        <w:rPr/>
        <w:t xml:space="preserve">” has the meaning specified in </w:t>
      </w:r>
      <w:r>
        <w:rPr>
          <w:u w:val="single"/>
        </w:rPr>
        <w:t>Section 8.1</w:t>
      </w:r>
      <w:r>
        <w:rPr/>
        <w:t>.</w:t>
      </w:r>
    </w:p>
    <w:p>
      <w:pPr>
        <w:pStyle w:val="BodyTextFirstIndent"/>
        <w:rPr/>
      </w:pPr>
      <w:r>
        <w:rPr/>
        <w:t>“</w:t>
      </w:r>
      <w:r>
        <w:rPr>
          <w:u w:val="single"/>
        </w:rPr>
        <w:t>Tax Returns</w:t>
      </w:r>
      <w:r>
        <w:rPr/>
        <w:t xml:space="preserve">” has the meaning specified in </w:t>
      </w:r>
      <w:r>
        <w:rPr>
          <w:u w:val="single"/>
        </w:rPr>
        <w:t>Section 3.1(r)(i)</w:t>
      </w:r>
      <w:r>
        <w:rPr/>
        <w:t>.</w:t>
      </w:r>
    </w:p>
    <w:p>
      <w:pPr>
        <w:pStyle w:val="BodyTextFirstIndent"/>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rPr/>
      </w:pPr>
      <w:r>
        <w:rPr/>
        <w:t>“</w:t>
      </w:r>
      <w:r>
        <w:rPr>
          <w:u w:val="single"/>
        </w:rPr>
        <w:t>Term Conversion Date</w:t>
      </w:r>
      <w:r>
        <w:rPr/>
        <w:t>” has the meaning given that term in the Lost Creek Credit Agreement.</w:t>
      </w:r>
    </w:p>
    <w:p>
      <w:pPr>
        <w:pStyle w:val="BodyTextFirstIndent"/>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rPr>
          <w:b/>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ind w:hanging="0" w:start="0"/>
        <w:rPr/>
      </w:pPr>
      <w:r>
        <w:rPr>
          <w:u w:val="single"/>
        </w:rPr>
        <w:t>Other Definitional Provisions</w:t>
      </w:r>
      <w:r>
        <w:rPr/>
        <w:t xml:space="preserve">.  </w:t>
      </w:r>
    </w:p>
    <w:p>
      <w:pPr>
        <w:pStyle w:val="Heading3"/>
        <w:ind w:hanging="0" w:start="0"/>
        <w:rPr/>
      </w:pPr>
      <w:r>
        <w:rPr/>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ind w:hanging="0" w:start="0"/>
        <w:rPr/>
      </w:pPr>
      <w:r>
        <w:rPr/>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ind w:hanging="0" w:start="0"/>
        <w:rPr/>
      </w:pPr>
      <w:r>
        <w:rPr/>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ind w:hanging="0" w:start="0"/>
        <w:rPr/>
      </w:pPr>
      <w:r>
        <w:rPr/>
        <w:br/>
        <w:t>PURCHASE AND SALE OF MEMBERSHIP INTERESTS</w:t>
      </w:r>
    </w:p>
    <w:p>
      <w:pPr>
        <w:pStyle w:val="Heading2"/>
        <w:ind w:hanging="0" w:start="0"/>
        <w:rPr/>
      </w:pPr>
      <w:r>
        <w:rPr>
          <w:u w:val="single"/>
        </w:rPr>
        <w:t>Purchase and Sale</w:t>
      </w:r>
      <w:r>
        <w:rPr/>
        <w:t xml:space="preserve">.  At the Closing, Purchaser shall purchase from Seller, and Seller shall sell to Purchaser and transfer (or cause to be transferred), the Acquired Membership Interests, on the terms and subject to the conditions set forth in this Agreement.  </w:t>
      </w:r>
    </w:p>
    <w:p>
      <w:pPr>
        <w:pStyle w:val="Heading2"/>
        <w:ind w:hanging="0" w:start="0"/>
        <w:rPr/>
      </w:pPr>
      <w:r>
        <w:rPr>
          <w:u w:val="single"/>
        </w:rPr>
        <w:t>Purchase Price</w:t>
      </w:r>
      <w:r>
        <w:rPr/>
        <w:t>.  The purchase price for the sale and transfer of the Acquired Membership Interests to Purchaser is $204,000,000 (the “</w:t>
      </w:r>
      <w:r>
        <w:rPr>
          <w:u w:val="single"/>
        </w:rPr>
        <w:t>Purchase Price</w:t>
      </w:r>
      <w:r>
        <w:rPr/>
        <w:t>”), subject to adjustment as provided below.  The “</w:t>
      </w:r>
      <w:r>
        <w:rPr>
          <w:u w:val="single"/>
        </w:rPr>
        <w:t>Adjusted Purchase Price</w:t>
      </w:r>
      <w:r>
        <w:rPr/>
        <w:t>” shall be the Purchase Price adjusted as follows:</w:t>
      </w:r>
    </w:p>
    <w:p>
      <w:pPr>
        <w:pStyle w:val="Heading4"/>
        <w:ind w:hanging="0" w:start="0"/>
        <w:rPr/>
      </w:pPr>
      <w:r>
        <w:rPr/>
        <w:t>adjusted downward by the amount of Cash Receipts after the Effective Date and prior to the Closing Date;</w:t>
      </w:r>
    </w:p>
    <w:p>
      <w:pPr>
        <w:pStyle w:val="Heading4"/>
        <w:ind w:hanging="0" w:start="0"/>
        <w:rPr/>
      </w:pPr>
      <w:r>
        <w:rPr/>
        <w:t>adjusted upward by (A) the amount of Cash Disbursements after the Effective Date and prior to the Closing Date, (B) the amount of regular salaries and related employee benefits paid to the Transferred Employees from the Closing Date through September 30, 2000, and (C) Cash Disbursements after the Closing Date and before October 31, 2000 that relate to periods prior to the Closing Date; and</w:t>
      </w:r>
    </w:p>
    <w:p>
      <w:pPr>
        <w:pStyle w:val="Heading4"/>
        <w:ind w:hanging="0" w:start="0"/>
        <w:rPr/>
      </w:pPr>
      <w:r>
        <w:rPr/>
        <w:t>adjusted by any other amount specifically provided for in this Agreement or agreed upon by the Parties in writing.</w:t>
      </w:r>
    </w:p>
    <w:p>
      <w:pPr>
        <w:pStyle w:val="Heading2"/>
        <w:ind w:hanging="0" w:start="0"/>
        <w:rPr/>
      </w:pP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ind w:hanging="0" w:start="0"/>
        <w:rPr/>
      </w:pP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ind w:hanging="0" w:start="0"/>
        <w:rPr/>
      </w:pPr>
      <w:r>
        <w:rPr>
          <w:u w:val="single"/>
        </w:rPr>
        <w:t>Post-Closing Adjustment to the Purchase Price</w:t>
      </w:r>
      <w:r>
        <w:rPr/>
        <w:t xml:space="preserve">. </w:t>
      </w:r>
    </w:p>
    <w:p>
      <w:pPr>
        <w:pStyle w:val="Heading3"/>
        <w:ind w:hanging="0" w:start="0"/>
        <w:rPr/>
      </w:pPr>
      <w:r>
        <w:rPr/>
        <w:t>On or before the date that is sixty (60) days after the Closing Date, Seller shall prepare and deliver to Purchaser a revised Closing Statement setting forth the Purchase Price adjustments and the Adjusted Purchase Price.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revised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ind w:hanging="0" w:start="0"/>
        <w:rPr/>
      </w:pPr>
      <w:r>
        <w:rPr/>
        <w:t xml:space="preserve">If the Adjusted Purchase Price, as finally determined pursuant to this </w:t>
      </w:r>
      <w:r>
        <w:rPr>
          <w:u w:val="single"/>
        </w:rPr>
        <w:t>Section 2.5</w:t>
      </w:r>
      <w:r>
        <w:rPr/>
        <w:t xml:space="preserve">, is less than the Estimated Adjusted Purchase Price delivered pursuant to </w:t>
      </w:r>
      <w:r>
        <w:rPr>
          <w:u w:val="single"/>
        </w:rPr>
        <w:t>Section 2.4</w:t>
      </w:r>
      <w:r>
        <w:rPr/>
        <w:t xml:space="preserve">, then Seller will pay to Purchaser, within two business days, by wire transfer of immediately available funds, the amount of such shortfall.  If the Adjusted Purchase Price, as finally determined pursuant to this </w:t>
      </w:r>
      <w:r>
        <w:rPr>
          <w:u w:val="single"/>
        </w:rPr>
        <w:t>Section 2.5</w:t>
      </w:r>
      <w:r>
        <w:rPr/>
        <w:t xml:space="preserve">, is greater than the Estimated Adjusted Purchase Price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2"/>
        <w:ind w:hanging="0" w:start="0"/>
        <w:rPr/>
      </w:pPr>
      <w:r>
        <w:rPr>
          <w:u w:val="single"/>
        </w:rPr>
        <w:t>Closing Obligations</w:t>
      </w:r>
      <w:r>
        <w:rPr/>
        <w:t xml:space="preserve">.  At the Closing:  </w:t>
      </w:r>
    </w:p>
    <w:p>
      <w:pPr>
        <w:pStyle w:val="Heading3"/>
        <w:ind w:hanging="0" w:start="0"/>
        <w:rPr/>
      </w:pPr>
      <w:r>
        <w:rPr/>
        <w:t xml:space="preserve">Seller shall deliver to Purchaser:  </w:t>
      </w:r>
    </w:p>
    <w:p>
      <w:pPr>
        <w:pStyle w:val="Heading4"/>
        <w:ind w:hanging="0" w:start="0"/>
        <w:rPr/>
      </w:pPr>
      <w:r>
        <w:rPr/>
        <w:t xml:space="preserve">A duly executed Assignment and Assumption Agreement, in the form attached hereto as </w:t>
      </w:r>
      <w:r>
        <w:rPr>
          <w:u w:val="single"/>
        </w:rPr>
        <w:t>Exhibit E-1</w:t>
      </w:r>
      <w:r>
        <w:rPr/>
        <w:t>, by which (A) the membership interests in EMS are assigned to Purchaser free and clear of all Liens except restrictions created by the Operating Agreement for EMS, (B) the Firm Gas Gathering Agreements and the NCO Agreements are assigned to Purchaser, and (C) Purchaser assumes the Assumed Obligations and Seller retains liability for gas imbalances under the Firm Gas Gathering Agreements that relate to periods prior to the Closing Date;</w:t>
      </w:r>
    </w:p>
    <w:p>
      <w:pPr>
        <w:pStyle w:val="Heading4"/>
        <w:ind w:hanging="0" w:start="0"/>
        <w:rPr/>
      </w:pPr>
      <w:r>
        <w:rPr/>
        <w:t xml:space="preserve">A duly executed Assignment and Assumption Agreement, in the form attached hereto as </w:t>
      </w:r>
      <w:r>
        <w:rPr>
          <w:u w:val="single"/>
        </w:rPr>
        <w:t>Exhibit E-2</w:t>
      </w:r>
      <w:r>
        <w:rPr/>
        <w:t>, by which the membership interests in EWR and EPR are assigned to Purchaser free and clear of all Liens except restrictions created by the Operating Agreements for EPR and EWR</w:t>
      </w:r>
    </w:p>
    <w:p>
      <w:pPr>
        <w:pStyle w:val="Heading4"/>
        <w:ind w:hanging="0" w:start="0"/>
        <w:rPr/>
      </w:pPr>
      <w:r>
        <w:rPr/>
        <w:t xml:space="preserve">A certificate in the form attached hereto as </w:t>
      </w:r>
      <w:r>
        <w:rPr>
          <w:u w:val="single"/>
        </w:rPr>
        <w:t>Exhibit F</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ind w:hanging="0" w:start="0"/>
        <w:rPr/>
      </w:pPr>
      <w:r>
        <w:rPr/>
        <w:t xml:space="preserve">A letter duly executed by the assignors of the membership interests in EWR and EPR waiving the restrictions on dispositions of such membership interests contained in </w:t>
      </w:r>
      <w:r>
        <w:rPr>
          <w:u w:val="single"/>
        </w:rPr>
        <w:t>Section 3.03</w:t>
      </w:r>
      <w:r>
        <w:rPr/>
        <w:t xml:space="preserve"> of the Operating Agreements for EWR and EPR to the extent such restrictions apply to the transactions contemplated hereunder.</w:t>
      </w:r>
    </w:p>
    <w:p>
      <w:pPr>
        <w:pStyle w:val="Heading4"/>
        <w:ind w:hanging="0" w:start="0"/>
        <w:rPr/>
      </w:pPr>
      <w:r>
        <w:rPr/>
        <w:t>The Master Services Agreement duly executed by Seller;</w:t>
      </w:r>
    </w:p>
    <w:p>
      <w:pPr>
        <w:pStyle w:val="Heading4"/>
        <w:ind w:hanging="0" w:start="0"/>
        <w:rPr/>
      </w:pPr>
      <w:r>
        <w:rPr/>
        <w:t>A copy of the executed Operating Agreements; and</w:t>
      </w:r>
    </w:p>
    <w:p>
      <w:pPr>
        <w:pStyle w:val="Heading4"/>
        <w:ind w:hanging="0" w:start="0"/>
        <w:rPr/>
      </w:pPr>
      <w:r>
        <w:rPr/>
        <w:t>Such other certificates and documents as may be called for under this Agreement or as Purchaser shall reasonably request.</w:t>
      </w:r>
    </w:p>
    <w:p>
      <w:pPr>
        <w:pStyle w:val="Heading3"/>
        <w:ind w:hanging="0" w:start="0"/>
        <w:rPr/>
      </w:pPr>
      <w:r>
        <w:rPr/>
        <w:t xml:space="preserve">Purchaser shall deliver (or cause to be delivered) to Seller:  </w:t>
      </w:r>
    </w:p>
    <w:p>
      <w:pPr>
        <w:pStyle w:val="Heading4"/>
        <w:ind w:hanging="0" w:start="0"/>
        <w:rPr/>
      </w:pPr>
      <w:r>
        <w:rPr/>
        <w:t>The Estimated Adjusted Purchase Price, by wire transfer to the account or accounts designated in writing by Seller in immediately available funds;</w:t>
      </w:r>
    </w:p>
    <w:p>
      <w:pPr>
        <w:pStyle w:val="Heading4"/>
        <w:ind w:hanging="0" w:start="0"/>
        <w:rPr/>
      </w:pPr>
      <w:r>
        <w:rPr/>
        <w:t xml:space="preserve">Assignment and Assumption Agreements executed by Purchaser in the forms attached hereto as </w:t>
      </w:r>
      <w:r>
        <w:rPr>
          <w:u w:val="single"/>
        </w:rPr>
        <w:t>Exhibit E-1</w:t>
      </w:r>
      <w:r>
        <w:rPr/>
        <w:t xml:space="preserve"> and Exhibit </w:t>
      </w:r>
      <w:r>
        <w:rPr>
          <w:u w:val="single"/>
        </w:rPr>
        <w:t>E-2</w:t>
      </w:r>
      <w:r>
        <w:rPr/>
        <w:t>;</w:t>
      </w:r>
    </w:p>
    <w:p>
      <w:pPr>
        <w:pStyle w:val="Heading4"/>
        <w:ind w:hanging="0" w:start="0"/>
        <w:rPr/>
      </w:pPr>
      <w:r>
        <w:rPr/>
        <w:t>The Administrative Services Agreement duly executed by Purchaser and Management Company;</w:t>
      </w:r>
    </w:p>
    <w:p>
      <w:pPr>
        <w:pStyle w:val="Heading4"/>
        <w:ind w:hanging="0" w:start="0"/>
        <w:rPr/>
      </w:pPr>
      <w:r>
        <w:rPr/>
        <w:t xml:space="preserve">A Guaranty executed by Northern Border Intermediate Limited Partnership in the form attached hereto as </w:t>
      </w:r>
      <w:r>
        <w:rPr>
          <w:u w:val="single"/>
        </w:rPr>
        <w:t>Exhibit G</w:t>
      </w:r>
      <w:r>
        <w:rPr/>
        <w:t>;</w:t>
      </w:r>
    </w:p>
    <w:p>
      <w:pPr>
        <w:pStyle w:val="Heading4"/>
        <w:ind w:hanging="0" w:start="0"/>
        <w:rPr/>
      </w:pPr>
      <w:r>
        <w:rPr/>
        <w:t>The Master Services Agreement duly executed by Purchaser;</w:t>
      </w:r>
    </w:p>
    <w:p>
      <w:pPr>
        <w:pStyle w:val="Heading4"/>
        <w:ind w:hanging="0" w:start="0"/>
        <w:rPr/>
      </w:pPr>
      <w:r>
        <w:rPr/>
        <w:t xml:space="preserve">A certificate from Purchaser in the form attached hereto as </w:t>
      </w:r>
      <w:r>
        <w:rPr>
          <w:u w:val="single"/>
        </w:rPr>
        <w:t>Exhibit H</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ind w:hanging="0" w:start="0"/>
        <w:rPr/>
      </w:pPr>
      <w:r>
        <w:rPr/>
        <w:t>Such other certificates and documents as may be called for under this Agreement or as Seller shall reasonably request; and</w:t>
      </w:r>
    </w:p>
    <w:p>
      <w:pPr>
        <w:pStyle w:val="Heading4"/>
        <w:ind w:hanging="0" w:start="0"/>
        <w:rPr/>
      </w:pPr>
      <w:r>
        <w:rPr/>
        <w:t>Satisfactory proof of substitute credit support necessary or required to release Seller and its Affiliates from liability under the Credit Support Obligations.</w:t>
      </w:r>
    </w:p>
    <w:p>
      <w:pPr>
        <w:pStyle w:val="Heading2"/>
        <w:ind w:hanging="0" w:start="0"/>
        <w:rPr/>
      </w:pPr>
      <w:r>
        <w:rPr>
          <w:u w:val="single"/>
        </w:rPr>
        <w:t>Allocation of Purchase Price</w:t>
      </w:r>
      <w:r>
        <w:rPr/>
        <w:t xml:space="preserve">.  The Parties shall agree upon an allocation of the Adjusted Purchase Price consistent with Section 1060 of the Code and the Treasury regulations thereunder by the Final Settlement Date.  If the Parties agree on a mutually satisfactory allocation by the Final Settlement Date, the Parties shall report this transaction for federal income tax purposes in accordance with the allocation so agreed upon.  </w:t>
      </w:r>
    </w:p>
    <w:p>
      <w:pPr>
        <w:pStyle w:val="Heading1"/>
        <w:ind w:hanging="0" w:start="0"/>
        <w:rPr/>
      </w:pPr>
      <w:r>
        <w:rPr/>
        <w:br/>
        <w:t>REPRESENTATIONS AND WARRANTIES</w:t>
      </w:r>
    </w:p>
    <w:p>
      <w:pPr>
        <w:pStyle w:val="Heading2"/>
        <w:ind w:hanging="0" w:start="0"/>
        <w:rPr/>
      </w:pPr>
      <w:r>
        <w:rPr>
          <w:u w:val="single"/>
        </w:rPr>
        <w:t>Representations and Warranties of Seller</w:t>
      </w:r>
      <w:r>
        <w:rPr/>
        <w:t>.</w:t>
      </w:r>
      <w:r>
        <w:rPr>
          <w:b/>
        </w:rPr>
        <w:t xml:space="preserve">  </w:t>
      </w:r>
      <w:r>
        <w:rPr/>
        <w:t>Seller hereby represents and warrants to Purchaser as of the Closing Date, as follows:</w:t>
      </w:r>
    </w:p>
    <w:p>
      <w:pPr>
        <w:pStyle w:val="Heading3"/>
        <w:ind w:hanging="0" w:start="0"/>
        <w:rPr/>
      </w:pPr>
      <w:r>
        <w:rPr>
          <w:u w:val="single"/>
        </w:rPr>
        <w:t>Authority for Transaction</w:t>
      </w:r>
      <w:r>
        <w:rPr/>
        <w:t>.</w:t>
      </w:r>
      <w:r>
        <w:rPr>
          <w:b/>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ind w:hanging="0" w:start="0"/>
        <w:rPr/>
      </w:pPr>
      <w:r>
        <w:rPr>
          <w:u w:val="single"/>
        </w:rPr>
        <w:t>Noncontravention</w:t>
      </w:r>
      <w:r>
        <w:rPr/>
        <w:t xml:space="preserve">.  Except as shown in </w:t>
      </w:r>
      <w:r>
        <w:rPr>
          <w:u w:val="single"/>
        </w:rPr>
        <w:t>Schedule 3.1(b)</w:t>
      </w:r>
      <w:r>
        <w:rPr/>
        <w:t>,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any Transferred Company.</w:t>
      </w:r>
    </w:p>
    <w:p>
      <w:pPr>
        <w:pStyle w:val="Heading3"/>
        <w:ind w:hanging="0" w:start="0"/>
        <w:rPr/>
      </w:pP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 (ii) as shown in </w:t>
      </w:r>
      <w:r>
        <w:rPr>
          <w:u w:val="single"/>
        </w:rPr>
        <w:t>Schedule 3.1(c)</w:t>
      </w:r>
      <w:r>
        <w:rPr/>
        <w:t>, and (iii) where the failure to obtain such consent, approval, order, authorization, registration, filing or permit would not have, individually or in the aggregate, a Material Adverse Effect on any Transferred Company.</w:t>
      </w:r>
    </w:p>
    <w:p>
      <w:pPr>
        <w:pStyle w:val="Heading3"/>
        <w:ind w:hanging="0" w:start="0"/>
        <w:rPr/>
      </w:pPr>
      <w:r>
        <w:rPr>
          <w:u w:val="single"/>
        </w:rPr>
        <w:t>Title to Membership Interests</w:t>
      </w:r>
      <w:r>
        <w:rPr/>
        <w:t xml:space="preserve">.  </w:t>
      </w:r>
    </w:p>
    <w:p>
      <w:pPr>
        <w:pStyle w:val="Heading4"/>
        <w:ind w:hanging="0" w:start="0"/>
        <w:rPr/>
      </w:pPr>
      <w:r>
        <w:rPr/>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Seller is not a party to any voting trust, proxy or other agreement or understanding with respect to the voting of the Acquired Membership Interests, except for the Operating Agreements.</w:t>
      </w:r>
    </w:p>
    <w:p>
      <w:pPr>
        <w:pStyle w:val="Heading4"/>
        <w:ind w:hanging="0" w:start="0"/>
        <w:rPr/>
      </w:pPr>
      <w:r>
        <w:rPr/>
        <w:t xml:space="preserve">Except as shown in </w:t>
      </w:r>
      <w:r>
        <w:rPr>
          <w:u w:val="single"/>
        </w:rPr>
        <w:t>Schedule 3.1(d)</w:t>
      </w:r>
      <w:r>
        <w:rPr/>
        <w:t xml:space="preserve">,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 or the Lost Creek Operating Agreement).  </w:t>
      </w:r>
    </w:p>
    <w:p>
      <w:pPr>
        <w:pStyle w:val="Heading4"/>
        <w:ind w:hanging="0" w:start="0"/>
        <w:rPr/>
      </w:pPr>
      <w:r>
        <w:rPr/>
        <w:t xml:space="preserve">Except as shown in </w:t>
      </w:r>
      <w:r>
        <w:rPr>
          <w:u w:val="single"/>
        </w:rPr>
        <w:t>Schedule 3.1(d)</w:t>
      </w:r>
      <w:r>
        <w:rPr/>
        <w:t>, EMS holds, beneficially and of record, ten percent (10%) of the common membership interests, and twenty percent (20%) of the Preferred A Units, in Bighorn, free and clear of any Lien, claim, pledge, encumbrance, security interest, option, warrant, purchase right or other contract or commitment (other than as provided in the Amended and Restated Limited Liability Company Operating Agreement of Bighorn).</w:t>
      </w:r>
    </w:p>
    <w:p>
      <w:pPr>
        <w:pStyle w:val="Heading3"/>
        <w:ind w:hanging="0" w:start="0"/>
        <w:rPr/>
      </w:pP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any Transferred Company).  Copies of the Certificate of Formation and Operating Agreement (as currently in effect) of each Transferred Company have heretofore been delivered to Purchaser, and such copies are accurate and complete as of the date hereof. </w:t>
      </w:r>
    </w:p>
    <w:p>
      <w:pPr>
        <w:pStyle w:val="Heading3"/>
        <w:ind w:hanging="0" w:start="0"/>
        <w:rPr/>
      </w:pP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any Transferred Company or Seller.</w:t>
      </w:r>
    </w:p>
    <w:p>
      <w:pPr>
        <w:pStyle w:val="Heading3"/>
        <w:ind w:hanging="0" w:start="0"/>
        <w:rPr/>
      </w:pPr>
      <w:r>
        <w:rPr>
          <w:u w:val="single"/>
        </w:rPr>
        <w:t>Capital Structure</w:t>
      </w:r>
      <w:r>
        <w:rPr/>
        <w:t xml:space="preserve">.  </w:t>
      </w:r>
    </w:p>
    <w:p>
      <w:pPr>
        <w:pStyle w:val="Heading4"/>
        <w:ind w:hanging="0" w:start="0"/>
        <w:rPr/>
      </w:pPr>
      <w:r>
        <w:rPr/>
        <w:t xml:space="preserve">At the Closing, the issued and outstanding equity interests of each Transferred Company will be comprised of Membership Interests totaling one hundred percent (100%).  The capital account balance, as of August 31, 2000, of each Transferred Company in respect of the Acquired Membership Interests, is set forth on </w:t>
      </w:r>
      <w:r>
        <w:rPr>
          <w:u w:val="single"/>
        </w:rPr>
        <w:t>Schedule 3.1(g)</w:t>
      </w:r>
      <w:r>
        <w:rPr/>
        <w:t xml:space="preserve"> attached hereto.  </w:t>
      </w:r>
    </w:p>
    <w:p>
      <w:pPr>
        <w:pStyle w:val="Heading4"/>
        <w:ind w:hanging="0" w:start="0"/>
        <w:rPr/>
      </w:pPr>
      <w:r>
        <w:rPr/>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ind w:hanging="0" w:start="0"/>
        <w:rPr/>
      </w:pP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ind w:hanging="0" w:start="0"/>
        <w:rPr/>
      </w:pP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 in the aggregate, for each Transferred Company)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ind w:hanging="0" w:start="0"/>
        <w:rPr/>
      </w:pPr>
      <w:r>
        <w:rPr>
          <w:u w:val="single"/>
        </w:rPr>
        <w:t>Absence of Undisclosed Liabilities</w:t>
      </w:r>
      <w:r>
        <w:rPr/>
        <w:t xml:space="preserve">.  Except as set forth in </w:t>
      </w:r>
      <w:r>
        <w:rPr>
          <w:u w:val="single"/>
        </w:rPr>
        <w:t>Schedule 3.1(j)</w:t>
      </w:r>
      <w:r>
        <w:rPr/>
        <w:t xml:space="preserve">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any Transferred Company.  Since the date of the Financial Statements, no Transferred Company had incurred any Liabilities except in the ordinary course of business.</w:t>
      </w:r>
    </w:p>
    <w:p>
      <w:pPr>
        <w:pStyle w:val="Heading3"/>
        <w:ind w:hanging="0" w:start="0"/>
        <w:rPr/>
      </w:pP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ind w:hanging="0" w:start="0"/>
        <w:rPr/>
      </w:pPr>
      <w:r>
        <w:rPr/>
        <w:t>Discharged or satisfied any Lien or paid any obligation or Liability, absolute or contingent, other than current Liabilities paid in the ordinary course of business;</w:t>
      </w:r>
    </w:p>
    <w:p>
      <w:pPr>
        <w:pStyle w:val="Heading4"/>
        <w:ind w:hanging="0" w:start="0"/>
        <w:rPr/>
      </w:pPr>
      <w:r>
        <w:rPr/>
        <w:t>Made any loans or advances or guaranteed any loans or advances to any Person (other than loans, advances or guaranties made in the ordinary course of business);</w:t>
      </w:r>
    </w:p>
    <w:p>
      <w:pPr>
        <w:pStyle w:val="Heading4"/>
        <w:ind w:hanging="0" w:start="0"/>
        <w:rPr/>
      </w:pPr>
      <w:r>
        <w:rPr/>
        <w:t>Except for Permitted Liens, suffered or permitted any Lien to arise or be granted or created against or upon any of its assets;</w:t>
      </w:r>
    </w:p>
    <w:p>
      <w:pPr>
        <w:pStyle w:val="Heading4"/>
        <w:ind w:hanging="0" w:start="0"/>
        <w:rPr/>
      </w:pPr>
      <w:r>
        <w:rPr/>
        <w:t>Canceled, waived or released any rights or claims against, or indebtedness owed by, third parties;</w:t>
      </w:r>
    </w:p>
    <w:p>
      <w:pPr>
        <w:pStyle w:val="Heading4"/>
        <w:ind w:hanging="0" w:start="0"/>
        <w:rPr/>
      </w:pPr>
      <w:r>
        <w:rPr/>
        <w:t>Made or permitted any amendment, supplement, modification or termination of any Material Agreement;</w:t>
      </w:r>
    </w:p>
    <w:p>
      <w:pPr>
        <w:pStyle w:val="Heading4"/>
        <w:ind w:hanging="0" w:start="0"/>
        <w:rPr/>
      </w:pPr>
      <w:r>
        <w:rPr/>
        <w:t>Expended or committed to expend capital in excess of $100,000;</w:t>
      </w:r>
    </w:p>
    <w:p>
      <w:pPr>
        <w:pStyle w:val="Heading4"/>
        <w:ind w:hanging="0" w:start="0"/>
        <w:rPr/>
      </w:pPr>
      <w:r>
        <w:rPr/>
        <w:t xml:space="preserve">Entered into any swap, hedging or similar arrangements; </w:t>
      </w:r>
    </w:p>
    <w:p>
      <w:pPr>
        <w:pStyle w:val="Heading4"/>
        <w:ind w:hanging="0" w:start="0"/>
        <w:rPr/>
      </w:pPr>
      <w:r>
        <w:rPr/>
        <w:t xml:space="preserve">Made any change in the accounting methods followed by it; </w:t>
      </w:r>
    </w:p>
    <w:p>
      <w:pPr>
        <w:pStyle w:val="Heading4"/>
        <w:ind w:hanging="0" w:start="0"/>
        <w:rPr/>
      </w:pPr>
      <w:r>
        <w:rPr/>
        <w:t xml:space="preserve">Received notice or otherwise acquired knowledge of any dispute or any other occurrence, event or condition of any character which could be anticipated to give rise to a legal or administrative action or a Material Adverse Effect on any Transferred Company; </w:t>
      </w:r>
    </w:p>
    <w:p>
      <w:pPr>
        <w:pStyle w:val="Heading4"/>
        <w:ind w:hanging="0" w:start="0"/>
        <w:rPr/>
      </w:pPr>
      <w:r>
        <w:rPr/>
        <w:t>Suffered any material adverse change in its working capital, financial condition, assets, Liabilities, reserves, business operations or prospects; or</w:t>
      </w:r>
    </w:p>
    <w:p>
      <w:pPr>
        <w:pStyle w:val="Heading4"/>
        <w:ind w:hanging="0" w:start="0"/>
        <w:rPr/>
      </w:pPr>
      <w:r>
        <w:rPr/>
        <w:t>Agreed, whether in writing or otherwise, to do any of the foregoing.</w:t>
      </w:r>
    </w:p>
    <w:p>
      <w:pPr>
        <w:pStyle w:val="Heading3"/>
        <w:ind w:hanging="0" w:start="0"/>
        <w:rPr/>
      </w:pPr>
      <w:r>
        <w:rPr>
          <w:u w:val="single"/>
        </w:rPr>
        <w:t>Contracts and Agreements</w:t>
      </w:r>
      <w:r>
        <w:rPr/>
        <w:t xml:space="preserve">. </w:t>
      </w:r>
    </w:p>
    <w:p>
      <w:pPr>
        <w:pStyle w:val="Heading4"/>
        <w:ind w:hanging="0" w:start="0"/>
        <w:rPr/>
      </w:pP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any Transferred Company (provided, however, that inclusion of any agreement or contract on </w:t>
      </w:r>
      <w:r>
        <w:rPr>
          <w:u w:val="single"/>
        </w:rPr>
        <w:t>Schedule 3.1(l)</w:t>
      </w:r>
      <w:r>
        <w:rPr/>
        <w:t xml:space="preserve"> does not constitute an admission that such agreement or contract is a Material Agreement).</w:t>
      </w:r>
    </w:p>
    <w:p>
      <w:pPr>
        <w:pStyle w:val="Heading4"/>
        <w:ind w:hanging="0" w:start="0"/>
        <w:rPr/>
      </w:pPr>
      <w:r>
        <w:rPr/>
        <w:t>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(C) any Existing EMS Gas Gathering Contracts, or (D) any other contract, agreement, lease or commitment, whether oral or written to which a Transferred Company is a party (“</w:t>
      </w:r>
      <w:r>
        <w:rPr>
          <w:u w:val="single"/>
        </w:rPr>
        <w:t>Other Contracts</w:t>
      </w:r>
      <w:r>
        <w:rPr/>
        <w:t>”), except for any such violation or default that would not have, individually or in the aggregate, a Material Adverse Effect on any Transferred Company.</w:t>
      </w:r>
    </w:p>
    <w:p>
      <w:pPr>
        <w:pStyle w:val="Heading4"/>
        <w:ind w:hanging="0" w:start="0"/>
        <w:rPr/>
      </w:pPr>
      <w:r>
        <w:rPr/>
        <w:t>(A) all of the Existing EMS Gas Gathering Contracts,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any Transferred Company; (B) there is no material default or material breach under any of the Existing EMS Gas Gathering Contracts, Material Agreement or Other Contract by any Transferred Company; or (C) to Seller’s knowledge, there are no material defaults or material breaches on the part of the other party to any of the Existing EMS Gas Gathering Contracts,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ind w:hanging="0" w:start="0"/>
        <w:rPr/>
      </w:pPr>
      <w:r>
        <w:rPr>
          <w:u w:val="single"/>
        </w:rPr>
        <w:t>Compliance with Laws; Permits</w:t>
      </w:r>
      <w:r>
        <w:rPr/>
        <w:t>.</w:t>
      </w:r>
    </w:p>
    <w:p>
      <w:pPr>
        <w:pStyle w:val="Heading4"/>
        <w:ind w:hanging="0" w:start="0"/>
        <w:rPr/>
      </w:pPr>
      <w:r>
        <w:rPr/>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any Transferred Company.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ind w:hanging="0" w:start="0"/>
        <w:rPr/>
      </w:pP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any Transferred Company.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any Transferred Company.</w:t>
      </w:r>
    </w:p>
    <w:p>
      <w:pPr>
        <w:pStyle w:val="Heading4"/>
        <w:ind w:hanging="0" w:start="0"/>
        <w:rPr/>
      </w:pPr>
      <w:r>
        <w:rPr/>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rPr>
        <w:t>et seq.</w:t>
      </w:r>
      <w:r>
        <w:rPr/>
        <w:t xml:space="preserve">), THE NATURAL GAS POLICY ACT OF 1978 (15 U.S.C. §3301 </w:t>
      </w:r>
      <w:r>
        <w:rPr>
          <w:i/>
        </w:rPr>
        <w:t>et seq.</w:t>
      </w:r>
      <w:r>
        <w:rPr/>
        <w:t>), THE LAWS OF WYOMING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ind w:hanging="0" w:start="0"/>
        <w:rPr/>
      </w:pPr>
      <w:r>
        <w:rPr>
          <w:u w:val="single"/>
        </w:rPr>
        <w:t>Title</w:t>
      </w:r>
      <w:r>
        <w:rPr/>
        <w:t xml:space="preserve">.  Except for Permitted Liens and defects or imperfections in title that would not have, individually or in the aggregate, a Material Adverse Effect on any Transferred Company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ind w:hanging="0" w:start="0"/>
        <w:rPr/>
      </w:pP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ind w:hanging="0" w:start="0"/>
        <w:rPr/>
      </w:pP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any Transferred Company.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ind w:hanging="0" w:start="0"/>
        <w:rPr/>
      </w:pP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ind w:hanging="0" w:start="0"/>
        <w:rPr/>
      </w:pPr>
      <w:r>
        <w:rPr>
          <w:u w:val="single"/>
        </w:rPr>
        <w:t>Taxes</w:t>
      </w:r>
      <w:r>
        <w:rPr/>
        <w:t xml:space="preserve">.  </w:t>
      </w:r>
    </w:p>
    <w:p>
      <w:pPr>
        <w:pStyle w:val="Heading4"/>
        <w:ind w:hanging="0" w:start="0"/>
        <w:rPr/>
      </w:pPr>
      <w:r>
        <w:rPr/>
        <w:t>Each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ind w:hanging="0" w:start="0"/>
        <w:rPr/>
      </w:pPr>
      <w:r>
        <w:rPr/>
        <w:t>With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Closing Date.</w:t>
      </w:r>
    </w:p>
    <w:p>
      <w:pPr>
        <w:pStyle w:val="Heading4"/>
        <w:ind w:hanging="0" w:start="0"/>
        <w:rPr/>
      </w:pPr>
      <w:r>
        <w:rPr/>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ind w:hanging="0" w:start="0"/>
        <w:rPr/>
      </w:pP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ind w:hanging="0" w:start="0"/>
        <w:rPr/>
      </w:pP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ind w:hanging="0" w:start="0"/>
        <w:rPr/>
      </w:pPr>
      <w:r>
        <w:rPr>
          <w:u w:val="single"/>
        </w:rPr>
        <w:t>Year 2000 Readiness</w:t>
      </w:r>
      <w:r>
        <w:rPr/>
        <w:t xml:space="preserve">.  The Covered Systems are Year 2000 Ready. </w:t>
      </w:r>
    </w:p>
    <w:p>
      <w:pPr>
        <w:pStyle w:val="Heading3"/>
        <w:ind w:hanging="0" w:start="0"/>
        <w:rPr/>
      </w:pPr>
      <w:r>
        <w:rPr>
          <w:u w:val="single"/>
        </w:rPr>
        <w:t>Environmental Compliance</w:t>
      </w:r>
      <w:r>
        <w:rPr/>
        <w:t xml:space="preserve">.  Except as set forth in </w:t>
      </w:r>
      <w:r>
        <w:rPr>
          <w:u w:val="single"/>
        </w:rPr>
        <w:t>Schedule 3.1(v)</w:t>
      </w:r>
      <w:r>
        <w:rPr/>
        <w:t>:</w:t>
      </w:r>
    </w:p>
    <w:p>
      <w:pPr>
        <w:pStyle w:val="Heading4"/>
        <w:ind w:hanging="0" w:start="0"/>
        <w:rPr/>
      </w:pPr>
      <w:r>
        <w:rPr/>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ind w:hanging="0" w:start="0"/>
        <w:rPr/>
      </w:pPr>
      <w:r>
        <w:rPr/>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ind w:hanging="0" w:start="0"/>
        <w:rPr/>
      </w:pPr>
      <w:r>
        <w:rPr/>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ind w:hanging="0" w:start="0"/>
        <w:rPr/>
      </w:pPr>
      <w:r>
        <w:rPr/>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 and</w:t>
      </w:r>
    </w:p>
    <w:p>
      <w:pPr>
        <w:pStyle w:val="Heading4"/>
        <w:ind w:hanging="0" w:start="0"/>
        <w:rPr/>
      </w:pPr>
      <w:r>
        <w:rPr/>
        <w:t>To the Seller’s knowledge, there have been no material releases of Hazardous Materials to surface waters or groundwater by a Transferred Company or a Gathering Company in violation of Environmental Laws.</w:t>
      </w:r>
    </w:p>
    <w:p>
      <w:pPr>
        <w:pStyle w:val="BodyText"/>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rPr/>
      </w:pPr>
      <w:r>
        <w:rPr/>
      </w:r>
    </w:p>
    <w:p>
      <w:pPr>
        <w:pStyle w:val="Heading2"/>
        <w:ind w:hanging="0" w:start="0"/>
        <w:rPr/>
      </w:pPr>
      <w:r>
        <w:rPr>
          <w:u w:val="single"/>
        </w:rPr>
        <w:t>Representations and Warranties of Purchaser</w:t>
      </w:r>
      <w:r>
        <w:rPr/>
        <w:t>.  Purchaser represents and warrants to Seller as follows:</w:t>
      </w:r>
    </w:p>
    <w:p>
      <w:pPr>
        <w:pStyle w:val="Heading3"/>
        <w:ind w:hanging="0" w:start="0"/>
        <w:rPr/>
      </w:pPr>
      <w:r>
        <w:rPr>
          <w:u w:val="single"/>
        </w:rPr>
        <w:t>Organization of Purchaser</w:t>
      </w:r>
      <w:r>
        <w:rPr/>
        <w:t>.  Purchaser is a limited liability company duly organized, validly existing and in good standing under the laws of the State of Delaware.</w:t>
      </w:r>
    </w:p>
    <w:p>
      <w:pPr>
        <w:pStyle w:val="Heading3"/>
        <w:ind w:hanging="0" w:start="0"/>
        <w:rPr/>
      </w:pPr>
      <w:r>
        <w:rPr>
          <w:u w:val="single"/>
        </w:rPr>
        <w:t>Authority for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Purchaser is not required to give any notice to, make any filing with or obtain any authorization, consent or approval of any Governmental Authority in order to consummate the transactions contemplated by this Agreement.</w:t>
      </w:r>
    </w:p>
    <w:p>
      <w:pPr>
        <w:pStyle w:val="Heading3"/>
        <w:ind w:hanging="0" w:start="0"/>
        <w:rPr/>
      </w:pPr>
      <w:r>
        <w:rPr>
          <w:u w:val="single"/>
        </w:rPr>
        <w:t>Noncontravention</w:t>
      </w:r>
      <w:r>
        <w:rPr/>
        <w:t>.  Neither the execution and delivery of this Agreement, nor the consummation of the transactions contemplated hereby, will (i) subject to compliance with the HSR Act,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ind w:hanging="0" w:start="0"/>
        <w:rPr/>
      </w:pP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w:t>
      </w:r>
    </w:p>
    <w:p>
      <w:pPr>
        <w:pStyle w:val="Heading3"/>
        <w:ind w:hanging="0" w:start="0"/>
        <w:rPr/>
      </w:pP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ind w:hanging="0" w:start="0"/>
        <w:rPr/>
      </w:pP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ind w:hanging="0" w:start="0"/>
        <w:rPr/>
      </w:pPr>
      <w:r>
        <w:rPr/>
        <w:br/>
        <w:t>COVENANTS AND AGREEMENTS</w:t>
      </w:r>
    </w:p>
    <w:p>
      <w:pPr>
        <w:pStyle w:val="Heading2"/>
        <w:ind w:hanging="0" w:start="0"/>
        <w:rPr/>
      </w:pP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ind w:hanging="0" w:start="0"/>
        <w:rPr/>
      </w:pP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ind w:hanging="0" w:start="0"/>
        <w:rPr/>
      </w:pP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ind w:hanging="0" w:start="0"/>
        <w:rPr/>
      </w:pPr>
      <w:r>
        <w:rPr>
          <w:u w:val="single"/>
        </w:rPr>
        <w:t>Employee Matters</w:t>
      </w:r>
      <w:r>
        <w:rPr/>
        <w:t>.</w:t>
      </w:r>
    </w:p>
    <w:p>
      <w:pPr>
        <w:pStyle w:val="Heading3"/>
        <w:ind w:hanging="0" w:start="0"/>
        <w:rPr/>
      </w:pPr>
      <w:r>
        <w:rPr>
          <w:u w:val="single"/>
        </w:rPr>
        <w:t>Administrative Services Agreement</w:t>
      </w:r>
      <w:r>
        <w:rPr/>
        <w:t>.  Purchaser shall cause the Management Company to enter into the Administrative Services Agreement with Purchaser at the Closing.</w:t>
      </w:r>
    </w:p>
    <w:p>
      <w:pPr>
        <w:pStyle w:val="Heading3"/>
        <w:ind w:hanging="0" w:start="0"/>
        <w:rPr/>
      </w:pPr>
      <w:r>
        <w:rPr>
          <w:u w:val="single"/>
        </w:rPr>
        <w:t>Employment</w:t>
      </w:r>
      <w:r>
        <w:rPr/>
        <w:t xml:space="preserve">.  Purchaser shall cause the Management Company to make offers of employment to certain employees of Seller.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ind w:hanging="0" w:start="0"/>
        <w:rPr/>
      </w:pPr>
      <w:r>
        <w:rPr>
          <w:u w:val="single"/>
        </w:rPr>
        <w:t>Employee Benefit Plans</w:t>
      </w:r>
      <w:r>
        <w:rPr/>
        <w:t>.  Purchaser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ind w:hanging="0" w:start="0"/>
        <w:rPr/>
      </w:pPr>
      <w:r>
        <w:rPr>
          <w:u w:val="single"/>
        </w:rPr>
        <w:t>Incentive Structure</w:t>
      </w:r>
      <w:r>
        <w:rPr/>
        <w:t xml:space="preserve">.  The Management Company will implement an incentive compensation program, as described in the Administrative Services Agreement, to encourage the Transferred Employees to develop new business opportunities, develop Purchaser’s existing assets, and contribute to the financial performance of Purchaser. </w:t>
      </w:r>
    </w:p>
    <w:p>
      <w:pPr>
        <w:pStyle w:val="Heading2"/>
        <w:ind w:hanging="0" w:start="0"/>
        <w:rPr/>
      </w:pP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ind w:hanging="0" w:start="0"/>
        <w:rPr/>
      </w:pPr>
      <w:r>
        <w:rPr>
          <w:u w:val="single"/>
        </w:rPr>
        <w:t>Changes in Business</w:t>
      </w:r>
      <w:r>
        <w:rPr/>
        <w:t>.  Seller shall cause each Transferred Company to comply with the following:</w:t>
      </w:r>
    </w:p>
    <w:p>
      <w:pPr>
        <w:pStyle w:val="Heading4"/>
        <w:ind w:hanging="0" w:start="0"/>
        <w:rPr/>
      </w:pPr>
      <w:r>
        <w:rPr/>
        <w:t>each Transferred Company shall not make any material change in the conduct of its business or operations;</w:t>
      </w:r>
    </w:p>
    <w:p>
      <w:pPr>
        <w:pStyle w:val="Heading4"/>
        <w:tabs>
          <w:tab w:val="left" w:pos="2880" w:leader="none"/>
        </w:tabs>
        <w:ind w:hanging="0" w:start="0"/>
        <w:rPr/>
      </w:pPr>
      <w:r>
        <w:rPr/>
        <w:t>except in the ordinary course of business and consistent with past practices, each Transferred Company shall not enter into, assign, terminate, or amend, in any material respect, any Material Agreement;</w:t>
      </w:r>
    </w:p>
    <w:p>
      <w:pPr>
        <w:pStyle w:val="Heading4"/>
        <w:tabs>
          <w:tab w:val="left" w:pos="2880" w:leader="none"/>
        </w:tabs>
        <w:ind w:hanging="0" w:start="0"/>
        <w:rPr/>
      </w:pPr>
      <w:r>
        <w:rPr/>
        <w:t>each Transferred Company shall not:</w:t>
      </w:r>
    </w:p>
    <w:p>
      <w:pPr>
        <w:pStyle w:val="Heading5"/>
        <w:ind w:hanging="0" w:start="0"/>
        <w:rPr/>
      </w:pPr>
      <w:r>
        <w:rPr/>
        <w:t xml:space="preserve">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except the Reserve Account, held by such Transferred Company which dividends shall be reflected in the Closing Statement and the revised Closing Statement prepared pursuant to </w:t>
      </w:r>
      <w:r>
        <w:rPr>
          <w:u w:val="single"/>
        </w:rPr>
        <w:t>Section 2.5</w:t>
      </w:r>
      <w:r>
        <w:rPr/>
        <w:t>;</w:t>
      </w:r>
    </w:p>
    <w:p>
      <w:pPr>
        <w:pStyle w:val="Heading5"/>
        <w:ind w:hanging="0" w:start="0"/>
        <w:rPr/>
      </w:pPr>
      <w:r>
        <w:rPr/>
        <w:t>merge into or with or consolidate with any other corporation or acquire all or substantially all of the business or assets of any corporation or other Person;</w:t>
      </w:r>
    </w:p>
    <w:p>
      <w:pPr>
        <w:pStyle w:val="Heading5"/>
        <w:ind w:hanging="0" w:start="0"/>
        <w:rPr/>
      </w:pPr>
      <w:r>
        <w:rPr/>
        <w:t>make any change in its Certificate of Formation or Operating Agreement; and</w:t>
      </w:r>
    </w:p>
    <w:p>
      <w:pPr>
        <w:pStyle w:val="Heading5"/>
        <w:ind w:hanging="0" w:start="0"/>
        <w:rPr/>
      </w:pPr>
      <w:r>
        <w:rPr/>
        <w:t>purchase any securities of any corporation or other Person, except for investments made in the ordinary course of business and consistent with prior practices;</w:t>
      </w:r>
    </w:p>
    <w:p>
      <w:pPr>
        <w:pStyle w:val="Heading4"/>
        <w:tabs>
          <w:tab w:val="left" w:pos="2880" w:leader="none"/>
        </w:tabs>
        <w:ind w:hanging="0" w:start="0"/>
        <w:rPr/>
      </w:pPr>
      <w:r>
        <w:rPr/>
        <w:t>other than pursuant to the requirements of existing contracts or commitments, each Transferred Company shall not sell, lease, or otherwise dispose of any of its assets, except for (a) assets sold, leased, or otherwise disposed of in the ordinary course of business, (b) the sale or disposition of any item of personal property or equipment having a value of less than $100,000, and (c) the pledge by EWR of its membership interests in Lost Creek under the EWR Pledge Agreement; and</w:t>
      </w:r>
    </w:p>
    <w:p>
      <w:pPr>
        <w:pStyle w:val="Heading4"/>
        <w:tabs>
          <w:tab w:val="left" w:pos="2880" w:leader="none"/>
        </w:tabs>
        <w:ind w:hanging="0" w:start="0"/>
        <w:rPr/>
      </w:pPr>
      <w:r>
        <w:rPr/>
        <w:t>each Transferred Company shall not take any action or enter into any commitment with respect to or in contemplation of any liquidation, dissolution, recapitalization, reorganization, or other winding up of its business or operations.</w:t>
      </w:r>
    </w:p>
    <w:p>
      <w:pPr>
        <w:pStyle w:val="Heading3"/>
        <w:ind w:hanging="0" w:start="0"/>
        <w:rPr/>
      </w:pP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(ii) required or evidenced by any Material Agreements, and (iii) required under the EWR Pledge Agreement.</w:t>
      </w:r>
    </w:p>
    <w:p>
      <w:pPr>
        <w:pStyle w:val="Heading3"/>
        <w:ind w:hanging="0" w:start="0"/>
        <w:rPr/>
      </w:pPr>
      <w:r>
        <w:rPr>
          <w:u w:val="single"/>
        </w:rPr>
        <w:t>Operations</w:t>
      </w:r>
      <w:r>
        <w:rPr/>
        <w:t>.  Seller shall:</w:t>
      </w:r>
    </w:p>
    <w:p>
      <w:pPr>
        <w:pStyle w:val="Heading4"/>
        <w:tabs>
          <w:tab w:val="left" w:pos="2880" w:leader="none"/>
        </w:tabs>
        <w:ind w:hanging="0" w:start="0"/>
        <w:rPr/>
      </w:pPr>
      <w:r>
        <w:rPr/>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tabs>
          <w:tab w:val="left" w:pos="720" w:leader="none"/>
          <w:tab w:val="left" w:pos="2880" w:leader="none"/>
        </w:tabs>
        <w:ind w:hanging="0" w:start="0"/>
        <w:rPr/>
      </w:pPr>
      <w:r>
        <w:rPr/>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tabs>
          <w:tab w:val="left" w:pos="720" w:leader="none"/>
          <w:tab w:val="left" w:pos="2880" w:leader="none"/>
        </w:tabs>
        <w:ind w:hanging="0" w:start="0"/>
        <w:rPr/>
      </w:pPr>
      <w:r>
        <w:rPr/>
        <w:t>cause EPR to vote in favor of the expansion of the existing gathering system of Fort Union if a vote is taken by the members of Fort Union on such matter prior to the Closing Date.</w:t>
      </w:r>
    </w:p>
    <w:p>
      <w:pPr>
        <w:pStyle w:val="Heading2"/>
        <w:ind w:hanging="0" w:start="0"/>
        <w:rPr/>
      </w:pP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ind w:hanging="0" w:start="0"/>
        <w:rPr/>
      </w:pP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ind w:hanging="0" w:start="0"/>
        <w:rPr/>
      </w:pP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ind w:hanging="0" w:start="0"/>
        <w:rPr/>
      </w:pP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Companies.  To the extent the books and records of Seller with respect to the Transferred Companies do not contain information regarding a Gathering Company that Purchaser desires to review, Seller shall use its reasonable efforts to cause each Gathering Company to make such information available to Purchaser.</w:t>
      </w:r>
    </w:p>
    <w:p>
      <w:pPr>
        <w:pStyle w:val="Heading2"/>
        <w:ind w:hanging="0" w:start="0"/>
        <w:rPr/>
      </w:pP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ind w:hanging="0" w:start="0"/>
        <w:rPr/>
      </w:pPr>
      <w:r>
        <w:rPr>
          <w:u w:val="single"/>
        </w:rPr>
        <w:t>Name Change</w:t>
      </w:r>
      <w:r>
        <w:rPr/>
        <w:t>.  Within 30 days after the Closing Date, Purchaser shall and shall cause the Transferred Companies to cease using the trademarks, service marks, logos, and trade names of Seller, including causing each Transferred Company to remove “Enron” and “ECT” from its name.</w:t>
      </w:r>
    </w:p>
    <w:p>
      <w:pPr>
        <w:pStyle w:val="Heading2"/>
        <w:ind w:hanging="0" w:start="0"/>
        <w:rPr/>
      </w:pPr>
      <w:r>
        <w:rPr>
          <w:u w:val="single"/>
        </w:rPr>
        <w:t>Title Defects</w:t>
      </w:r>
      <w:r>
        <w:rPr/>
        <w:t>.  On or before 90 days after the Closing Date, Seller shall cure the title defects affecting or burdening the Completed Systems in a manner that would generally be considered prudent by an experienced owner of similar properties.</w:t>
      </w:r>
    </w:p>
    <w:p>
      <w:pPr>
        <w:pStyle w:val="Heading2"/>
        <w:ind w:hanging="0" w:start="0"/>
        <w:rPr/>
      </w:pPr>
      <w:r>
        <w:rPr>
          <w:u w:val="single"/>
        </w:rPr>
        <w:t>Lost Creek</w:t>
      </w:r>
      <w:r>
        <w:rPr/>
        <w:t>.  If the Term Conversion Date under the Lost Creek Credit Agreement does not occur on or before the Closing, Purchaser shall execute and deliver, and cause its Affiliates to execute and deliver, all such instruments and documents that may be required to complete the conversion from a Construction Loan to a Term Loan under the Lost Creek Credit Agreement.</w:t>
      </w:r>
    </w:p>
    <w:p>
      <w:pPr>
        <w:pStyle w:val="Heading2"/>
        <w:ind w:hanging="0" w:start="0"/>
        <w:rPr/>
      </w:pPr>
      <w:r>
        <w:rPr>
          <w:u w:val="single"/>
        </w:rPr>
        <w:t>Release of Assumed Obligations</w:t>
      </w:r>
      <w:r>
        <w:rPr/>
        <w:t>.  If Seller has not obtained releases of the obligations of Seller under the Firm Gas Gathering Agreements and the NCO Agreements on or before the Closing Date, Purchaser shall, when reasonably requested by Seller, execute and deliver all such instruments and documents, and take such actions, as may be required to obtain such releases of such obligations of Seller.</w:t>
      </w:r>
    </w:p>
    <w:p>
      <w:pPr>
        <w:pStyle w:val="Heading2"/>
        <w:ind w:hanging="0" w:start="0"/>
        <w:rPr/>
      </w:pPr>
      <w:r>
        <w:rPr>
          <w:u w:val="single"/>
        </w:rPr>
        <w:t>Gas Imbalances - Further Assistance</w:t>
      </w:r>
      <w:r>
        <w:rPr/>
        <w:t>.  From and after the Closing Date, Purchaser shall take all actions reasonably requested by Seller to permit Seller to resolve the gas imbalances existing under the Firm Gas Gathering Agreements as of the Closing Date.</w:t>
      </w:r>
    </w:p>
    <w:p>
      <w:pPr>
        <w:pStyle w:val="Heading1"/>
        <w:ind w:hanging="0" w:start="0"/>
        <w:rPr/>
      </w:pPr>
      <w:r>
        <w:rPr/>
        <w:br/>
        <w:t>CLOSING CONDITIONS</w:t>
      </w:r>
    </w:p>
    <w:p>
      <w:pPr>
        <w:pStyle w:val="Heading2"/>
        <w:ind w:hanging="0" w:start="0"/>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ind w:hanging="0" w:start="0"/>
        <w:rPr/>
      </w:pPr>
      <w:r>
        <w:rPr>
          <w:u w:val="single"/>
        </w:rPr>
        <w:t>Closing Documents</w:t>
      </w:r>
      <w:r>
        <w:rPr/>
        <w:t xml:space="preserve">.  On or prior to the Closing Date, Purchaser shall have delivered all agreements, instruments, and documents required to be delivered by Purchaser under </w:t>
      </w:r>
      <w:r>
        <w:rPr>
          <w:u w:val="single"/>
        </w:rPr>
        <w:t>Section 2.6(b)</w:t>
      </w:r>
      <w:r>
        <w:rPr/>
        <w:t xml:space="preserve">.  </w:t>
      </w:r>
    </w:p>
    <w:p>
      <w:pPr>
        <w:pStyle w:val="Heading3"/>
        <w:ind w:hanging="0" w:start="0"/>
        <w:rPr/>
      </w:pP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ind w:hanging="0" w:start="0"/>
        <w:rPr/>
      </w:pP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ind w:hanging="0" w:start="0"/>
        <w:rPr/>
      </w:pPr>
      <w:r>
        <w:rPr>
          <w:u w:val="single"/>
        </w:rPr>
        <w:t>Purchase Price</w:t>
      </w:r>
      <w:r>
        <w:rPr/>
        <w:t xml:space="preserve">.  Purchaser shall have delivered the Estimated Adjusted Purchase Price to Seller by wire transfer in immediately available funds. </w:t>
      </w:r>
    </w:p>
    <w:p>
      <w:pPr>
        <w:pStyle w:val="Heading3"/>
        <w:ind w:hanging="0" w:start="0"/>
        <w:rPr/>
      </w:pPr>
      <w:r>
        <w:rPr>
          <w:u w:val="single"/>
        </w:rPr>
        <w:t>Credit Support</w:t>
      </w:r>
      <w:r>
        <w:rPr/>
        <w:t>.  Purchaser shall have provided satisfactory substitute credit support, and Seller and its Affiliates shall have been released from, the Credit Support Obligations.</w:t>
      </w:r>
    </w:p>
    <w:p>
      <w:pPr>
        <w:pStyle w:val="Heading3"/>
        <w:ind w:hanging="0" w:start="0"/>
        <w:rPr>
          <w:u w:val="single"/>
        </w:rPr>
      </w:pPr>
      <w:r>
        <w:rPr>
          <w:u w:val="single"/>
        </w:rPr>
        <w:t>Board of Directors Approval</w:t>
      </w:r>
      <w:r>
        <w:rPr/>
        <w:t>.  Seller shall have received the approval of its board of directors to the transactions contemplated by this Agreement.</w:t>
      </w:r>
    </w:p>
    <w:p>
      <w:pPr>
        <w:pStyle w:val="Heading2"/>
        <w:ind w:hanging="0" w:start="0"/>
        <w:rPr/>
      </w:pP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Seller in </w:t>
      </w:r>
      <w:r>
        <w:rPr>
          <w:u w:val="single"/>
        </w:rPr>
        <w:t>Section 3.1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ind w:hanging="0" w:start="0"/>
        <w:rPr/>
      </w:pPr>
      <w:r>
        <w:rPr>
          <w:u w:val="single"/>
        </w:rPr>
        <w:t>Closing Documents</w:t>
      </w:r>
      <w:r>
        <w:rPr/>
        <w:t xml:space="preserve">.  On or prior to the Closing Date, Seller shall have delivered all agreements, instruments, and documents required to be delivered by Seller under </w:t>
      </w:r>
      <w:r>
        <w:rPr>
          <w:u w:val="single"/>
        </w:rPr>
        <w:t>Section 2.6(a)</w:t>
      </w:r>
      <w:r>
        <w:rPr/>
        <w:t xml:space="preserve">. </w:t>
      </w:r>
    </w:p>
    <w:p>
      <w:pPr>
        <w:pStyle w:val="Heading3"/>
        <w:ind w:hanging="0" w:start="0"/>
        <w:rPr/>
      </w:pP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ind w:hanging="0" w:start="0"/>
        <w:rPr/>
      </w:pP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ind w:hanging="0" w:start="0"/>
        <w:rPr/>
      </w:pPr>
      <w:r>
        <w:rPr>
          <w:u w:val="single"/>
        </w:rPr>
        <w:t>Consents</w:t>
      </w:r>
      <w:r>
        <w:rPr/>
        <w:t xml:space="preserve">.  Seller shall have obtained all consents or waivers required to sell and transfer (or cause to be transferred) the Acquired Membership Interests to Purchaser and the terms of such consents or waivers shall be reasonably acceptable to Purchaser.  </w:t>
      </w:r>
    </w:p>
    <w:p>
      <w:pPr>
        <w:pStyle w:val="Heading3"/>
        <w:ind w:hanging="0" w:start="0"/>
        <w:rPr/>
      </w:pPr>
      <w:r>
        <w:rPr>
          <w:u w:val="single"/>
        </w:rPr>
        <w:t>Due Diligence Review</w:t>
      </w:r>
      <w:r>
        <w:rPr/>
        <w:t xml:space="preserve">.  Purchaser shall have completed its due diligence review of the Transferred Companies and the Gathering Companies and the results of that review shall be reasonably satisfactory to Purchaser.  </w:t>
      </w:r>
    </w:p>
    <w:p>
      <w:pPr>
        <w:pStyle w:val="Heading3"/>
        <w:ind w:hanging="0" w:start="0"/>
        <w:rPr/>
      </w:pPr>
      <w:r>
        <w:rPr>
          <w:u w:val="single"/>
        </w:rPr>
        <w:t>Approvals</w:t>
      </w:r>
      <w:r>
        <w:rPr/>
        <w:t>.  Purchaser shall have received the Audit Committee Approval and the approval of the Partnership Policy Committee of Northern Border Partners, L.P.</w:t>
      </w:r>
    </w:p>
    <w:p>
      <w:pPr>
        <w:pStyle w:val="Heading3"/>
        <w:ind w:hanging="0" w:start="0"/>
        <w:rPr/>
      </w:pPr>
      <w:r>
        <w:rPr>
          <w:u w:val="single"/>
        </w:rPr>
        <w:t>Lender Consent</w:t>
      </w:r>
      <w:r>
        <w:rPr/>
        <w:t xml:space="preserve">.  Purchaser shall have received from its existing lenders all waivers and consents necessary to consummate the transactions contemplated by this Agreement. </w:t>
      </w:r>
    </w:p>
    <w:p>
      <w:pPr>
        <w:pStyle w:val="Heading1"/>
        <w:ind w:hanging="0" w:start="0"/>
        <w:rPr/>
      </w:pPr>
      <w:r>
        <w:rPr/>
        <w:br/>
        <w:t>SURVIVAL OF REPRESENTATIONS AND AGREEMENTS</w:t>
        <w:br/>
        <w:t>INDEMNIFICATION AND THIRD PARTY CLAIMS</w:t>
      </w:r>
    </w:p>
    <w:p>
      <w:pPr>
        <w:pStyle w:val="Heading2"/>
        <w:ind w:hanging="0" w:start="0"/>
        <w:rPr/>
      </w:pPr>
      <w:r>
        <w:rPr>
          <w:u w:val="single"/>
        </w:rPr>
        <w:t>Survival</w:t>
      </w:r>
      <w:r>
        <w:rPr/>
        <w:t xml:space="preserve">.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 and (ii) if Seller has not been fully released from its obligations under the Firm Gas Gathering Agreements and the NCO Agreements by the second anniversary of the Closing Date, then Purchaser’s indemnity obligations in </w:t>
      </w:r>
      <w:r>
        <w:rPr>
          <w:u w:val="single"/>
        </w:rPr>
        <w:t>Section 6.4(ii)</w:t>
      </w:r>
      <w:r>
        <w:rPr/>
        <w:t xml:space="preserve"> shall not terminate and continue in full force and effect until the earlier of the date on which Seller obtains such release or the expiration of the applicable statute of limitations.</w:t>
      </w:r>
    </w:p>
    <w:p>
      <w:pPr>
        <w:pStyle w:val="Heading2"/>
        <w:ind w:hanging="0" w:start="0"/>
        <w:rPr/>
      </w:pP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ind w:hanging="0" w:start="0"/>
        <w:rPr/>
      </w:pP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ind w:hanging="0" w:start="0"/>
        <w:rPr/>
      </w:pPr>
      <w:r>
        <w:rPr>
          <w:u w:val="single"/>
        </w:rPr>
        <w:t>Indemnification by Purchaser</w:t>
      </w:r>
      <w:r>
        <w:rPr/>
        <w:t xml:space="preserve">.  Except as otherwise provided in this </w:t>
      </w:r>
      <w:r>
        <w:rPr>
          <w:u w:val="single"/>
        </w:rPr>
        <w:t>Article VI</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Purchaser under this Agreement or any agreement, certificate or other document delivered or to be delivered by Purchaser under this Agreement, whether or not the Seller Indemnitees relied thereon or had Knowledge thereof, or any breach or nonfulfillment of any covenant, agreement or other obligation of Purchaser under this Agreement or any agreement or document delivered by Purchaser under this Agreement,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ind w:hanging="0" w:start="0"/>
        <w:rPr/>
      </w:pPr>
      <w:r>
        <w:rPr>
          <w:u w:val="single"/>
        </w:rPr>
        <w:t>Notice and Defense of Third-Party Claims</w:t>
      </w:r>
      <w:r>
        <w:rPr/>
        <w:t>.</w:t>
      </w:r>
    </w:p>
    <w:p>
      <w:pPr>
        <w:pStyle w:val="Heading3"/>
        <w:ind w:hanging="0" w:start="0"/>
        <w:rPr/>
      </w:pPr>
      <w:r>
        <w:rPr/>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ind w:hanging="0" w:start="0"/>
        <w:rPr/>
      </w:pPr>
      <w:r>
        <w:rPr/>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ind w:hanging="0" w:start="0"/>
        <w:rPr/>
      </w:pPr>
      <w:r>
        <w:rPr/>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ind w:hanging="0" w:start="0"/>
        <w:rPr/>
      </w:pPr>
      <w:r>
        <w:rPr>
          <w:u w:val="single"/>
        </w:rPr>
        <w:t>Limits on Indemnity Obligations</w:t>
      </w:r>
      <w:r>
        <w:rPr/>
        <w:t xml:space="preserve">.  </w:t>
      </w:r>
    </w:p>
    <w:p>
      <w:pPr>
        <w:pStyle w:val="Heading3"/>
        <w:ind w:hanging="0" w:start="0"/>
        <w:rPr/>
      </w:pPr>
      <w:r>
        <w:rPr/>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ind w:hanging="0" w:start="0"/>
        <w:rPr/>
      </w:pPr>
      <w:r>
        <w:rPr/>
        <w:t xml:space="preserve">If the total amount of all Losses covered by this </w:t>
      </w:r>
      <w:r>
        <w:rPr>
          <w:u w:val="single"/>
        </w:rPr>
        <w:t>Article VI</w:t>
      </w:r>
      <w:r>
        <w:rPr/>
        <w:t xml:space="preserve"> which the Purchaser Indemnitees have the right to assert against Seller does not exceed an amount equal to one percent (1%) of the Adjusted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ind w:hanging="0" w:start="0"/>
        <w:rPr/>
      </w:pPr>
      <w:r>
        <w:rPr/>
        <w:t xml:space="preserve">Seller’s liability to the Purchaser Indemnitees under this </w:t>
      </w:r>
      <w:r>
        <w:rPr>
          <w:u w:val="single"/>
        </w:rPr>
        <w:t>Article VI</w:t>
      </w:r>
      <w:r>
        <w:rPr/>
        <w:t xml:space="preserve"> for Losses arising out of or attributable to a Transferred Company shall not exceed the amount of the Adjusted Purchase Price allocated to that Transferred Company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Adjusted Purchase Price.</w:t>
      </w:r>
    </w:p>
    <w:p>
      <w:pPr>
        <w:pStyle w:val="Heading3"/>
        <w:ind w:hanging="0" w:start="0"/>
        <w:rPr/>
      </w:pPr>
      <w:r>
        <w:rPr/>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ind w:hanging="0" w:start="0"/>
        <w:rPr/>
      </w:pPr>
      <w:r>
        <w:rPr/>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ind w:hanging="0" w:start="0"/>
        <w:rPr>
          <w:b/>
        </w:rPr>
      </w:pPr>
      <w:r>
        <w:rPr>
          <w:b/>
        </w:rPr>
        <w:t xml:space="preserve">ALL RELEASES, DISCLAIMERS, LIMITATIONS ON LIABILITY, AND INDEMNITIES IN THIS AGREEMENT, INCLUDING THOSE IN THIS </w:t>
      </w:r>
      <w:r>
        <w:rPr>
          <w:b/>
          <w:u w:val="single"/>
        </w:rPr>
        <w:t>ARTICLE VI</w:t>
      </w:r>
      <w:r>
        <w:rPr>
          <w:b/>
        </w:rPr>
        <w:t>, SHALL APPLY EVEN IN THE EVENT OF THE SOLE, JOINT, AND/OR CONCURRENT NEGLIGENCE, STRICT LIABILITY, OR OTHER FAULT OF THE PARTY WHOSE LIABILITY IS RELEASED, DISCLAIMED, LIMITED, OR INDEMNIFIED.</w:t>
      </w:r>
    </w:p>
    <w:p>
      <w:pPr>
        <w:pStyle w:val="Heading2"/>
        <w:ind w:hanging="0" w:start="0"/>
        <w:rPr/>
      </w:pP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that have been satisfied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other than a Transferred Company, and (iii) pursue all rights or contribution or other recoveries afforded under applicable law (including, but not limited to, remedies awarded under Environmental Laws) against third parties but not against a Transferred Company.  Pursuit of any and all such claims or rights of recovery shall be at the sole cost and expense, and for the sole benefit, of the Indemnifying Party.</w:t>
      </w:r>
    </w:p>
    <w:p>
      <w:pPr>
        <w:pStyle w:val="Heading2"/>
        <w:ind w:hanging="0" w:start="0"/>
        <w:rPr/>
      </w:pPr>
      <w:r>
        <w:rPr>
          <w:u w:val="single"/>
        </w:rPr>
        <w:t>General Provisions</w:t>
      </w:r>
      <w:r>
        <w:rPr/>
        <w:t xml:space="preserve">.  </w:t>
      </w:r>
    </w:p>
    <w:p>
      <w:pPr>
        <w:pStyle w:val="Heading3"/>
        <w:ind w:hanging="0" w:start="0"/>
        <w:rPr/>
      </w:pPr>
      <w:r>
        <w:rPr/>
        <w:t xml:space="preserve">The amount of any Loss for which indemnification is sought pursuant to this </w:t>
      </w:r>
      <w:r>
        <w:rPr>
          <w:u w:val="single"/>
        </w:rPr>
        <w:t>Article VI</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ind w:hanging="0" w:start="0"/>
        <w:rPr/>
      </w:pPr>
      <w:r>
        <w:rPr/>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ind w:hanging="0" w:start="0"/>
        <w:rPr/>
      </w:pPr>
      <w:r>
        <w:rPr/>
        <w:br/>
        <w:t>TERMINATION</w:t>
      </w:r>
    </w:p>
    <w:p>
      <w:pPr>
        <w:pStyle w:val="Heading2"/>
        <w:ind w:hanging="0" w:start="0"/>
        <w:rPr/>
      </w:pPr>
      <w:r>
        <w:rPr>
          <w:u w:val="single"/>
        </w:rPr>
        <w:t>Termination</w:t>
      </w:r>
      <w:r>
        <w:rPr/>
        <w:t>.  This Agreement and the transactions contemplated hereby may be terminated at any time prior to the Closing:</w:t>
      </w:r>
    </w:p>
    <w:p>
      <w:pPr>
        <w:pStyle w:val="Heading3"/>
        <w:ind w:hanging="0" w:start="0"/>
        <w:rPr/>
      </w:pPr>
      <w:r>
        <w:rPr/>
        <w:t xml:space="preserve">by the written mutual consent of Seller and Purchaser; or </w:t>
      </w:r>
    </w:p>
    <w:p>
      <w:pPr>
        <w:pStyle w:val="Heading3"/>
        <w:ind w:hanging="0" w:start="0"/>
        <w:rPr/>
      </w:pPr>
      <w:r>
        <w:rPr/>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ind w:hanging="0" w:start="0"/>
        <w:rPr/>
      </w:pP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ind w:hanging="0" w:start="0"/>
        <w:rPr/>
      </w:pPr>
      <w:r>
        <w:rPr/>
        <w:br/>
        <w:t>PARTICIPATION RIGHTS</w:t>
      </w:r>
    </w:p>
    <w:p>
      <w:pPr>
        <w:pStyle w:val="Heading2"/>
        <w:ind w:hanging="0" w:start="0"/>
        <w:rPr>
          <w:u w:val="single"/>
        </w:rPr>
      </w:pP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written notice to Purchaser describing in reasonable detail the Specified Project.  If Purchaser notifies Seller in writing within ten (10) business days after receipt of Seller’s notice that Purchaser desires to participate in such Specified Project, Seller and Purchaser shall work together in good faith for a commercially reasonable period (given the nature of the Specified Project) to permit Purchaser the right to participate in the asset based equity portion of the Specified Project on terms that are acceptable to Seller and Purchaser.  If after the end of such period, Seller and Purchaser have failed to reach agreement on Purchaser’s participation in such Specified Project, Seller shall have no further obligations to Purchaser under this </w:t>
      </w:r>
      <w:r>
        <w:rPr>
          <w:u w:val="single"/>
        </w:rPr>
        <w:t>Section 8.1</w:t>
      </w:r>
      <w:r>
        <w:rPr/>
        <w:t xml:space="preserve"> with respect to such Specified Project.  Any Specified Project developed by Seller as part of a transaction that is primarily a producer finance transaction shall not be considered a Specified Project.  </w:t>
      </w:r>
    </w:p>
    <w:p>
      <w:pPr>
        <w:pStyle w:val="Heading2"/>
        <w:ind w:hanging="0" w:start="0"/>
        <w:rPr>
          <w:b/>
        </w:rPr>
      </w:pPr>
      <w:r>
        <w:rPr>
          <w:u w:val="single"/>
        </w:rPr>
        <w:t>Seller’s Rights</w:t>
      </w:r>
      <w:r>
        <w:rPr/>
        <w:t xml:space="preserve">.  If Purchaser or Northern Border Partners, L.P. or any of its subsidiaries proposes to develop or participate in, directly or indirectly, a Specified Project, then Purchaser shall promptly give written notice to Seller describing in reasonable detail the Specified Project.  If Seller notifies Purchaser in writing within ten (10) business days after receipt of Purchaser’s notice that it desires to participate in such Specified Project, Seller and Purchaser shall work together in good faith for a commercially reasonable period (given the nature of the Specified Project) to permit Seller the right to participate in all gas or other energy linked commodity transactions and producer outsourcing opportunities related to the Specified Project, including access to gathering or transportation services, on terms that are acceptable to Seller and Purchaser.  If after the end of such period, Seller and Purchaser have failed to reach agreement on Seller’s participation in such Specified Project, Purchaser shall have no further obligations to Seller under this </w:t>
      </w:r>
      <w:r>
        <w:rPr>
          <w:u w:val="single"/>
        </w:rPr>
        <w:t>Section 8.2</w:t>
      </w:r>
      <w:r>
        <w:rPr/>
        <w:t xml:space="preserve"> with respect to such Specified Project.  </w:t>
      </w:r>
    </w:p>
    <w:p>
      <w:pPr>
        <w:pStyle w:val="Heading2"/>
        <w:ind w:hanging="0" w:start="0"/>
        <w:rPr/>
      </w:pP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ind w:hanging="0" w:start="0"/>
        <w:rPr/>
      </w:pP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ind w:hanging="0" w:start="0"/>
        <w:rPr/>
      </w:pPr>
      <w:r>
        <w:rPr>
          <w:u w:val="single"/>
        </w:rPr>
        <w:t>No Limitation</w:t>
      </w:r>
      <w:r>
        <w:rPr/>
        <w:t xml:space="preserve">.  The provisions of this </w:t>
      </w:r>
      <w:r>
        <w:rPr>
          <w:u w:val="single"/>
        </w:rPr>
        <w:t>Article VIII</w:t>
      </w:r>
      <w:r>
        <w:rPr/>
        <w:t xml:space="preserve"> and the participation rights granted herein shall not limit or restrict the Seller or Purchaser from pursuing or developing transactions outside of the Specified Geographical Area.</w:t>
      </w:r>
    </w:p>
    <w:p>
      <w:pPr>
        <w:pStyle w:val="Heading1"/>
        <w:ind w:hanging="0" w:start="0"/>
        <w:rPr/>
      </w:pPr>
      <w:r>
        <w:rPr/>
        <w:br/>
        <w:t>MISCELLANEOUS</w:t>
      </w:r>
    </w:p>
    <w:p>
      <w:pPr>
        <w:pStyle w:val="Heading2"/>
        <w:ind w:hanging="0" w:start="0"/>
        <w:rPr/>
      </w:pPr>
      <w:r>
        <w:rPr>
          <w:u w:val="single"/>
        </w:rPr>
        <w:t>Governing Law</w:t>
      </w:r>
      <w:r>
        <w:rPr/>
        <w:t>.  This Agreement shall be governed by and construed in accordance with the substantive law of the State of Texas without giving effect to the principles of conflicts of law thereof.</w:t>
      </w:r>
    </w:p>
    <w:p>
      <w:pPr>
        <w:pStyle w:val="Heading2"/>
        <w:ind w:hanging="0" w:start="0"/>
        <w:rPr/>
      </w:pPr>
      <w:r>
        <w:rPr>
          <w:u w:val="single"/>
        </w:rPr>
        <w:t>Counterparts</w:t>
      </w:r>
      <w:r>
        <w:rPr/>
        <w:t>.  This Agreement may be executed in multiple counterparts, each of which shall be an original, but all of which together shall constitute one and the same agreement.</w:t>
      </w:r>
    </w:p>
    <w:p>
      <w:pPr>
        <w:pStyle w:val="Heading2"/>
        <w:ind w:hanging="0" w:start="0"/>
        <w:rPr/>
      </w:pPr>
      <w:r>
        <w:rPr>
          <w:u w:val="single"/>
        </w:rPr>
        <w:t>Assignment; Binding Effect</w:t>
      </w:r>
      <w:r>
        <w:rPr/>
        <w:t xml:space="preserve">.  Neither this Agreement nor any of the rights, interests or obligations hereunder shall be assigned by any Party (whether by operation of law or otherwise) without the prior written consent of the other Party; </w:t>
      </w:r>
      <w:r>
        <w:rPr>
          <w:i/>
        </w:rPr>
        <w:t>provided, however</w:t>
      </w:r>
      <w:r>
        <w:rPr/>
        <w:t>, that Purchaser may assign its rights, interests or obligations hereunder to its Affiliates without the prior written consent of the other Party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ind w:hanging="0" w:start="0"/>
        <w:rPr/>
      </w:pP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ind w:hanging="0" w:start="0"/>
        <w:rPr/>
      </w:pP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rPr/>
      </w:pPr>
      <w:r>
        <w:rPr>
          <w:u w:val="single"/>
        </w:rPr>
        <w:t>If to Seller</w:t>
      </w:r>
      <w:r>
        <w:rPr/>
        <w:t>:</w:t>
      </w:r>
    </w:p>
    <w:p>
      <w:pPr>
        <w:pStyle w:val="BodyTextIndent"/>
        <w:rPr/>
      </w:pPr>
      <w:r>
        <w:rPr/>
        <w:t>Enron North America Corp.</w:t>
      </w:r>
    </w:p>
    <w:p>
      <w:pPr>
        <w:pStyle w:val="BodyTextIndent"/>
        <w:rPr/>
      </w:pPr>
      <w:r>
        <w:rPr/>
        <w:t>1400 Smith Street</w:t>
      </w:r>
    </w:p>
    <w:p>
      <w:pPr>
        <w:pStyle w:val="BodyTextIndent"/>
        <w:rPr/>
      </w:pPr>
      <w:r>
        <w:rPr/>
        <w:t>Houston, Texas  77002</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FirstIndent"/>
        <w:keepLines/>
        <w:rPr/>
      </w:pPr>
      <w:r>
        <w:rPr>
          <w:u w:val="single"/>
        </w:rPr>
        <w:t>If to Purchaser</w:t>
      </w:r>
      <w:r>
        <w:rPr/>
        <w:t>:</w:t>
      </w:r>
    </w:p>
    <w:p>
      <w:pPr>
        <w:pStyle w:val="BodyTextIndent"/>
        <w:rPr/>
      </w:pPr>
      <w:r>
        <w:rPr/>
        <w:t>NBP Energy Pipelines, L.L.C.</w:t>
      </w:r>
    </w:p>
    <w:p>
      <w:pPr>
        <w:pStyle w:val="BodyTextIndent"/>
        <w:rPr/>
      </w:pPr>
      <w:r>
        <w:rPr/>
        <w:t>1111 South 103</w:t>
      </w:r>
      <w:r>
        <w:rPr>
          <w:vertAlign w:val="superscript"/>
        </w:rPr>
        <w:t>rd</w:t>
      </w:r>
      <w:r>
        <w:rPr/>
        <w:t xml:space="preserve"> Street</w:t>
      </w:r>
    </w:p>
    <w:p>
      <w:pPr>
        <w:pStyle w:val="BodyTextIndent"/>
        <w:rPr/>
      </w:pPr>
      <w:r>
        <w:rPr/>
        <w:t>Omaha, Nebraska 68124-1000</w:t>
      </w:r>
    </w:p>
    <w:p>
      <w:pPr>
        <w:pStyle w:val="BodyTextIndent"/>
        <w:rPr/>
      </w:pPr>
      <w:r>
        <w:rPr/>
        <w:t>Attention:  Mr. Robert Hill</w:t>
      </w:r>
    </w:p>
    <w:p>
      <w:pPr>
        <w:pStyle w:val="BodyTextIndent"/>
        <w:rPr/>
      </w:pPr>
      <w:r>
        <w:rPr/>
        <w:t>Telephone:  402-398-7888</w:t>
      </w:r>
    </w:p>
    <w:p>
      <w:pPr>
        <w:pStyle w:val="BodyTextIndent"/>
        <w:rPr/>
      </w:pPr>
      <w:r>
        <w:rPr/>
      </w:r>
    </w:p>
    <w:p>
      <w:pPr>
        <w:pStyle w:val="BodyText"/>
        <w:rPr/>
      </w:pPr>
      <w:r>
        <w:rPr/>
        <w:t xml:space="preserve">Any Party may change its address for receiving notices by giving written notice of such change to the other Parties in accordance with this </w:t>
      </w:r>
      <w:r>
        <w:rPr>
          <w:u w:val="single"/>
        </w:rPr>
        <w:t>Section 9.5</w:t>
      </w:r>
      <w:r>
        <w:rPr/>
        <w:t>.</w:t>
      </w:r>
    </w:p>
    <w:p>
      <w:pPr>
        <w:pStyle w:val="BodyText"/>
        <w:rPr/>
      </w:pPr>
      <w:r>
        <w:rPr/>
      </w:r>
    </w:p>
    <w:p>
      <w:pPr>
        <w:pStyle w:val="Heading2"/>
        <w:ind w:hanging="0" w:start="0"/>
        <w:rPr/>
      </w:pPr>
      <w:r>
        <w:rPr>
          <w:u w:val="single"/>
        </w:rPr>
        <w:t>Amendment</w:t>
      </w:r>
      <w:r>
        <w:rPr/>
        <w:t xml:space="preserve">.  This Agreement may be amended by the Parties at any time only by a written instrument signed on behalf of each of the Parties. </w:t>
      </w:r>
    </w:p>
    <w:p>
      <w:pPr>
        <w:pStyle w:val="Heading2"/>
        <w:ind w:hanging="0" w:start="0"/>
        <w:rPr/>
      </w:pP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ind w:hanging="0" w:start="0"/>
        <w:rPr/>
      </w:pP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ind w:hanging="0" w:start="0"/>
        <w:rPr/>
      </w:pPr>
      <w:r>
        <w:rPr>
          <w:u w:val="single"/>
        </w:rPr>
        <w:t>Arbitration</w:t>
      </w:r>
      <w:r>
        <w:rPr/>
        <w:t>.</w:t>
      </w:r>
      <w:r>
        <w:rPr>
          <w:b/>
        </w:rPr>
        <w:t xml:space="preserve">  </w:t>
      </w:r>
      <w:r>
        <w:rPr/>
        <w:t>Notwithstanding anything in this Agreement to the contrary, all Disputes (defined below) between the Parties relating to this Agreement shall be resolved as follows:</w:t>
      </w:r>
    </w:p>
    <w:p>
      <w:pPr>
        <w:pStyle w:val="Heading3"/>
        <w:ind w:hanging="0" w:start="0"/>
        <w:rPr/>
      </w:pPr>
      <w:r>
        <w:rPr/>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ind w:hanging="0" w:start="0"/>
        <w:rPr/>
      </w:pPr>
      <w:r>
        <w:rPr/>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ind w:hanging="0" w:start="0"/>
        <w:rPr/>
      </w:pPr>
      <w:r>
        <w:rPr/>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ind w:hanging="0" w:start="0"/>
        <w:rPr/>
      </w:pPr>
      <w:r>
        <w:rPr/>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rPr/>
      </w:pPr>
      <w:r>
        <w:rPr/>
        <w:t>IN WITNESS WHEREOF, the Parties have executed this Agreement or caused this Agreement to be executed by their duly authorized representatives as of the date first above written.</w:t>
      </w:r>
    </w:p>
    <w:p>
      <w:pPr>
        <w:pStyle w:val="Signature"/>
        <w:rPr>
          <w:i/>
          <w:i/>
        </w:rPr>
      </w:pPr>
      <w:r>
        <w:rPr>
          <w:i/>
        </w:rPr>
        <w:t>Seller:</w:t>
      </w:r>
    </w:p>
    <w:p>
      <w:pPr>
        <w:pStyle w:val="Signature"/>
        <w:rPr>
          <w:b/>
          <w:i/>
          <w:i/>
        </w:rPr>
      </w:pPr>
      <w:r>
        <w:rPr>
          <w:b/>
          <w:i/>
        </w:rPr>
      </w:r>
    </w:p>
    <w:p>
      <w:pPr>
        <w:pStyle w:val="Signature"/>
        <w:rPr>
          <w:b/>
        </w:rPr>
      </w:pPr>
      <w:r>
        <w:rPr>
          <w:b/>
        </w:rPr>
        <w:t>ENRON NORTH AMERICA CORP.</w:t>
      </w:r>
    </w:p>
    <w:p>
      <w:pPr>
        <w:pStyle w:val="Signature"/>
        <w:rPr/>
      </w:pPr>
      <w:r>
        <w:rPr/>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u w:val="single"/>
        </w:rPr>
      </w:pPr>
      <w:r>
        <w:rPr>
          <w:u w:val="single"/>
        </w:rPr>
      </w:r>
    </w:p>
    <w:p>
      <w:pPr>
        <w:pStyle w:val="Signature"/>
        <w:rPr>
          <w:u w:val="single"/>
        </w:rPr>
      </w:pPr>
      <w:r>
        <w:rPr>
          <w:u w:val="single"/>
        </w:rPr>
      </w:r>
    </w:p>
    <w:p>
      <w:pPr>
        <w:pStyle w:val="Signature"/>
        <w:rPr>
          <w:i/>
          <w:i/>
        </w:rPr>
      </w:pPr>
      <w:r>
        <w:rPr>
          <w:i/>
        </w:rPr>
        <w:t>Purchaser:</w:t>
      </w:r>
    </w:p>
    <w:p>
      <w:pPr>
        <w:pStyle w:val="Signature"/>
        <w:rPr>
          <w:i/>
          <w:i/>
        </w:rPr>
      </w:pPr>
      <w:r>
        <w:rPr>
          <w:i/>
        </w:rPr>
      </w:r>
    </w:p>
    <w:p>
      <w:pPr>
        <w:pStyle w:val="Signature"/>
        <w:rPr>
          <w:b/>
        </w:rPr>
      </w:pPr>
      <w:r>
        <w:rPr>
          <w:b/>
        </w:rPr>
        <w:t>NBP ENERGY PIPELINES, L.L.C.</w:t>
      </w:r>
    </w:p>
    <w:p>
      <w:pPr>
        <w:pStyle w:val="Signature"/>
        <w:rPr>
          <w:b/>
        </w:rPr>
      </w:pPr>
      <w:r>
        <w:rPr>
          <w:b/>
        </w:rPr>
      </w:r>
    </w:p>
    <w:p>
      <w:pPr>
        <w:pStyle w:val="Signature"/>
        <w:tabs>
          <w:tab w:val="left" w:pos="4860" w:leader="none"/>
          <w:tab w:val="right" w:pos="9360" w:leader="none"/>
        </w:tabs>
        <w:rPr/>
      </w:pPr>
      <w:r>
        <w:rPr/>
        <w:t>By:</w:t>
        <w:tab/>
      </w:r>
      <w:r>
        <w:rPr>
          <w:u w:val="single"/>
        </w:rPr>
        <w:tab/>
      </w:r>
    </w:p>
    <w:p>
      <w:pPr>
        <w:pStyle w:val="Signature"/>
        <w:tabs>
          <w:tab w:val="left" w:pos="4860" w:leader="none"/>
          <w:tab w:val="right" w:pos="9360" w:leader="none"/>
        </w:tabs>
        <w:rPr/>
      </w:pPr>
      <w:r>
        <w:rPr/>
        <w:t>Name:</w:t>
      </w:r>
      <w:r>
        <w:rPr>
          <w:u w:val="single"/>
        </w:rPr>
        <w:tab/>
      </w:r>
    </w:p>
    <w:p>
      <w:pPr>
        <w:pStyle w:val="Signature"/>
        <w:tabs>
          <w:tab w:val="left" w:pos="4860" w:leader="none"/>
          <w:tab w:val="right" w:pos="9360" w:leader="none"/>
        </w:tabs>
        <w:rPr/>
      </w:pPr>
      <w:r>
        <w:rPr/>
        <w:t>Title:</w:t>
      </w:r>
      <w:r>
        <w:rPr>
          <w:u w:val="single"/>
        </w:rPr>
        <w:tab/>
        <w:tab/>
      </w:r>
    </w:p>
    <w:p>
      <w:pPr>
        <w:pStyle w:val="BodyText"/>
        <w:rPr/>
      </w:pPr>
      <w:r>
        <w:rPr/>
      </w:r>
      <w:r>
        <w:br w:type="page"/>
      </w:r>
    </w:p>
    <w:p>
      <w:pPr>
        <w:pStyle w:val="BodyText"/>
        <w:jc w:val="center"/>
        <w:rPr/>
      </w:pPr>
      <w:r>
        <w:rPr/>
        <w:t>LIST OF EXHIBITS AND SCHEDULES</w:t>
      </w:r>
    </w:p>
    <w:p>
      <w:pPr>
        <w:pStyle w:val="BodyText"/>
        <w:rPr/>
      </w:pPr>
      <w:r>
        <w:rPr/>
      </w:r>
    </w:p>
    <w:p>
      <w:pPr>
        <w:pStyle w:val="BodyText"/>
        <w:rPr/>
      </w:pPr>
      <w:r>
        <w:rPr/>
      </w:r>
    </w:p>
    <w:p>
      <w:pPr>
        <w:pStyle w:val="BodyText"/>
        <w:rPr/>
      </w:pPr>
      <w:r>
        <w:rPr/>
        <w:t>EXHIBITS:</w:t>
      </w:r>
    </w:p>
    <w:p>
      <w:pPr>
        <w:pStyle w:val="BodyText"/>
        <w:rPr/>
      </w:pPr>
      <w:r>
        <w:rPr/>
      </w:r>
    </w:p>
    <w:p>
      <w:pPr>
        <w:pStyle w:val="BodyText"/>
        <w:rPr/>
      </w:pPr>
      <w:r>
        <w:rPr/>
        <w:t>Exhibit A</w:t>
        <w:tab/>
        <w:t>-</w:t>
        <w:tab/>
        <w:t>EMS Gathering System</w:t>
      </w:r>
    </w:p>
    <w:p>
      <w:pPr>
        <w:pStyle w:val="BodyText"/>
        <w:rPr/>
      </w:pPr>
      <w:r>
        <w:rPr/>
        <w:t>Exhibit B</w:t>
        <w:tab/>
        <w:t>-</w:t>
        <w:tab/>
        <w:t>Administrative Services Agreement</w:t>
      </w:r>
    </w:p>
    <w:p>
      <w:pPr>
        <w:pStyle w:val="BodyText"/>
        <w:rPr/>
      </w:pPr>
      <w:r>
        <w:rPr/>
        <w:t>Exhibit C</w:t>
        <w:tab/>
        <w:t>-</w:t>
        <w:tab/>
        <w:t>Master Services Agreement</w:t>
      </w:r>
    </w:p>
    <w:p>
      <w:pPr>
        <w:pStyle w:val="BodyText"/>
        <w:rPr/>
      </w:pPr>
      <w:r>
        <w:rPr/>
        <w:t>Exhibit D</w:t>
        <w:tab/>
        <w:t>-</w:t>
        <w:tab/>
        <w:t>Description of Specified Geographical Area</w:t>
      </w:r>
    </w:p>
    <w:p>
      <w:pPr>
        <w:pStyle w:val="BodyText"/>
        <w:rPr/>
      </w:pPr>
      <w:r>
        <w:rPr/>
        <w:t>Exhibit E-1</w:t>
        <w:tab/>
        <w:t>-</w:t>
        <w:tab/>
        <w:t>Assignment and Assumption Agreement - EMS</w:t>
      </w:r>
    </w:p>
    <w:p>
      <w:pPr>
        <w:pStyle w:val="BodyText"/>
        <w:rPr/>
      </w:pPr>
      <w:r>
        <w:rPr/>
        <w:t>Exhibit E-2</w:t>
        <w:tab/>
        <w:t>-</w:t>
        <w:tab/>
        <w:t>Assignment and Assumption Agreement - EWR and EPR</w:t>
      </w:r>
    </w:p>
    <w:p>
      <w:pPr>
        <w:pStyle w:val="BodyText"/>
        <w:rPr/>
      </w:pPr>
      <w:r>
        <w:rPr/>
        <w:t>Exhibit F</w:t>
        <w:tab/>
        <w:t>-</w:t>
        <w:tab/>
        <w:t>Seller’s Officer’s Certificate</w:t>
      </w:r>
    </w:p>
    <w:p>
      <w:pPr>
        <w:pStyle w:val="BodyText"/>
        <w:rPr/>
      </w:pPr>
      <w:r>
        <w:rPr/>
        <w:t>Exhibit G</w:t>
        <w:tab/>
        <w:t>-</w:t>
        <w:tab/>
        <w:t>Guaranty</w:t>
      </w:r>
    </w:p>
    <w:p>
      <w:pPr>
        <w:pStyle w:val="BodyText"/>
        <w:rPr/>
      </w:pPr>
      <w:r>
        <w:rPr/>
        <w:t>Exhibit H</w:t>
        <w:tab/>
        <w:t>-</w:t>
        <w:tab/>
        <w:t>Purchaser’s Officer’s Certificate</w:t>
      </w:r>
    </w:p>
    <w:p>
      <w:pPr>
        <w:pStyle w:val="BodyText"/>
        <w:rPr/>
      </w:pPr>
      <w:r>
        <w:rPr/>
      </w:r>
    </w:p>
    <w:p>
      <w:pPr>
        <w:pStyle w:val="BodyText"/>
        <w:rPr/>
      </w:pPr>
      <w:r>
        <w:rPr/>
        <w:t>DISCLOSURE SCHEDULE:</w:t>
      </w:r>
    </w:p>
    <w:p>
      <w:pPr>
        <w:pStyle w:val="BodyText"/>
        <w:rPr/>
      </w:pPr>
      <w:r>
        <w:rPr/>
      </w:r>
    </w:p>
    <w:p>
      <w:pPr>
        <w:pStyle w:val="BodyText"/>
        <w:rPr/>
      </w:pPr>
      <w:r>
        <w:rPr/>
        <w:t>Schedule 1.1(a)</w:t>
        <w:tab/>
        <w:t>-</w:t>
        <w:tab/>
        <w:t>Credit Support Obligations</w:t>
      </w:r>
    </w:p>
    <w:p>
      <w:pPr>
        <w:pStyle w:val="BodyText"/>
        <w:rPr/>
      </w:pPr>
      <w:r>
        <w:rPr/>
        <w:t>Schedule 1.1(b)</w:t>
        <w:tab/>
        <w:t>-</w:t>
        <w:tab/>
        <w:t>Existing EMS Gathering Agreements</w:t>
      </w:r>
    </w:p>
    <w:p>
      <w:pPr>
        <w:pStyle w:val="BodyText"/>
        <w:rPr/>
      </w:pPr>
      <w:r>
        <w:rPr/>
        <w:t>Schedule 1.1(c)</w:t>
        <w:tab/>
        <w:t>-</w:t>
        <w:tab/>
        <w:t>Firm Gas Gathering Agreements</w:t>
      </w:r>
    </w:p>
    <w:p>
      <w:pPr>
        <w:pStyle w:val="BodyText"/>
        <w:rPr/>
      </w:pPr>
      <w:r>
        <w:rPr/>
        <w:t>Schedule 1.1(d)</w:t>
        <w:tab/>
        <w:t>-</w:t>
        <w:tab/>
        <w:t>NCO Agreements</w:t>
      </w:r>
    </w:p>
    <w:p>
      <w:pPr>
        <w:pStyle w:val="BodyText"/>
        <w:rPr/>
      </w:pPr>
      <w:r>
        <w:rPr/>
        <w:t>Schedule 3.1(a)</w:t>
        <w:tab/>
        <w:tab/>
        <w:t>Governmental Consents</w:t>
      </w:r>
    </w:p>
    <w:p>
      <w:pPr>
        <w:pStyle w:val="BodyText"/>
        <w:rPr/>
      </w:pPr>
      <w:r>
        <w:rPr/>
        <w:t>Schedule 3.1(b)</w:t>
        <w:tab/>
        <w:t>-</w:t>
        <w:tab/>
        <w:t>Noncontravention</w:t>
      </w:r>
    </w:p>
    <w:p>
      <w:pPr>
        <w:pStyle w:val="BodyText"/>
        <w:rPr/>
      </w:pPr>
      <w:r>
        <w:rPr/>
        <w:t>Schedule 3.1(c)</w:t>
        <w:tab/>
        <w:t>-</w:t>
        <w:tab/>
        <w:t>Consents and Approvals</w:t>
      </w:r>
    </w:p>
    <w:p>
      <w:pPr>
        <w:pStyle w:val="BodyText"/>
        <w:rPr/>
      </w:pPr>
      <w:r>
        <w:rPr/>
        <w:t>Schedule 3.1(d)</w:t>
        <w:tab/>
        <w:t>-</w:t>
        <w:tab/>
        <w:t>Title to Membership Interests</w:t>
      </w:r>
    </w:p>
    <w:p>
      <w:pPr>
        <w:pStyle w:val="BodyText"/>
        <w:rPr/>
      </w:pPr>
      <w:r>
        <w:rPr/>
        <w:t>Schedule 3.1(g)</w:t>
        <w:tab/>
        <w:t>-</w:t>
        <w:tab/>
        <w:t>Capital Account Balances</w:t>
      </w:r>
    </w:p>
    <w:p>
      <w:pPr>
        <w:pStyle w:val="BodyText"/>
        <w:rPr/>
      </w:pPr>
      <w:r>
        <w:rPr/>
        <w:t>Schedule 3.1(h)</w:t>
        <w:tab/>
        <w:t>-</w:t>
        <w:tab/>
        <w:t>Business Activities</w:t>
      </w:r>
    </w:p>
    <w:p>
      <w:pPr>
        <w:pStyle w:val="BodyText"/>
        <w:rPr/>
      </w:pPr>
      <w:r>
        <w:rPr/>
        <w:t>Schedule 3.1(i)</w:t>
        <w:tab/>
        <w:t>-</w:t>
        <w:tab/>
        <w:t>Financial Statements</w:t>
      </w:r>
    </w:p>
    <w:p>
      <w:pPr>
        <w:pStyle w:val="BodyText"/>
        <w:rPr/>
      </w:pPr>
      <w:r>
        <w:rPr/>
        <w:t>Schedule 3.1(j)</w:t>
        <w:tab/>
        <w:t>-</w:t>
        <w:tab/>
        <w:t>Absence of Undisclosed Liabilities</w:t>
      </w:r>
    </w:p>
    <w:p>
      <w:pPr>
        <w:pStyle w:val="BodyText"/>
        <w:rPr/>
      </w:pPr>
      <w:r>
        <w:rPr/>
        <w:t>Schedule 3.1(k)</w:t>
        <w:tab/>
        <w:t>-</w:t>
        <w:tab/>
        <w:t>Absence of Certain Changes</w:t>
      </w:r>
    </w:p>
    <w:p>
      <w:pPr>
        <w:pStyle w:val="BodyText"/>
        <w:rPr/>
      </w:pPr>
      <w:r>
        <w:rPr/>
        <w:t>Schedule 3.1(l)</w:t>
        <w:tab/>
        <w:t>-</w:t>
        <w:tab/>
        <w:t>Material Agreements</w:t>
      </w:r>
    </w:p>
    <w:p>
      <w:pPr>
        <w:pStyle w:val="BodyText"/>
        <w:rPr/>
      </w:pPr>
      <w:r>
        <w:rPr/>
        <w:t>Schedule 3.1(m)</w:t>
        <w:tab/>
        <w:t>-</w:t>
        <w:tab/>
        <w:t>Permits</w:t>
      </w:r>
    </w:p>
    <w:p>
      <w:pPr>
        <w:pStyle w:val="BodyText"/>
        <w:rPr/>
      </w:pPr>
      <w:r>
        <w:rPr/>
        <w:t>Schedule 3.1(n)</w:t>
        <w:tab/>
        <w:t>-</w:t>
        <w:tab/>
        <w:t>Title Matters</w:t>
      </w:r>
    </w:p>
    <w:p>
      <w:pPr>
        <w:pStyle w:val="BodyText"/>
        <w:rPr/>
      </w:pPr>
      <w:r>
        <w:rPr/>
        <w:t>Schedule 3.1(o)</w:t>
        <w:tab/>
        <w:t>-</w:t>
        <w:tab/>
        <w:t>Condition of Property</w:t>
      </w:r>
    </w:p>
    <w:p>
      <w:pPr>
        <w:pStyle w:val="BodyText"/>
        <w:rPr/>
      </w:pPr>
      <w:r>
        <w:rPr/>
        <w:t>Schedule 3.1(p)</w:t>
        <w:tab/>
        <w:t>-</w:t>
        <w:tab/>
        <w:t>Litigation</w:t>
      </w:r>
    </w:p>
    <w:p>
      <w:pPr>
        <w:pStyle w:val="BodyText"/>
        <w:rPr/>
      </w:pPr>
      <w:r>
        <w:rPr/>
        <w:t>Schedule 3.1(q)</w:t>
        <w:tab/>
        <w:t>-</w:t>
        <w:tab/>
        <w:t>No Restrictions</w:t>
      </w:r>
    </w:p>
    <w:p>
      <w:pPr>
        <w:pStyle w:val="BodyText"/>
        <w:rPr/>
      </w:pPr>
      <w:r>
        <w:rPr/>
        <w:t>Schedule 3.1(t)</w:t>
        <w:tab/>
        <w:t>-</w:t>
        <w:tab/>
        <w:t>Related Transactions</w:t>
      </w:r>
    </w:p>
    <w:p>
      <w:pPr>
        <w:pStyle w:val="BodyText"/>
        <w:rPr/>
      </w:pPr>
      <w:r>
        <w:rPr/>
        <w:t>Schedule 3.1(v)</w:t>
        <w:tab/>
        <w:t>-</w:t>
        <w:tab/>
        <w:t>Environmental Matters</w:t>
      </w:r>
    </w:p>
    <w:p>
      <w:pPr>
        <w:pStyle w:val="BodyText"/>
        <w:rPr/>
      </w:pPr>
      <w:r>
        <w:rPr/>
        <w:t>Schedule 4.5</w:t>
        <w:tab/>
        <w:tab/>
        <w:t>-</w:t>
        <w:tab/>
        <w:t>Preclosing Matters</w:t>
      </w:r>
      <w:r>
        <w:br w:type="page"/>
      </w:r>
    </w:p>
    <w:p>
      <w:pPr>
        <w:pStyle w:val="Heading"/>
        <w:rPr/>
      </w:pPr>
      <w:r>
        <w:rPr/>
        <w:t xml:space="preserve">Schedule 1.1(a) </w:t>
      </w:r>
    </w:p>
    <w:p>
      <w:pPr>
        <w:pStyle w:val="Heading"/>
        <w:rPr/>
      </w:pPr>
      <w:r>
        <w:rPr/>
        <w:t>CREDIT SUPPORT OBLIGATIONS</w:t>
      </w:r>
    </w:p>
    <w:p>
      <w:pPr>
        <w:pStyle w:val="Heading"/>
        <w:rPr>
          <w:b w:val="false"/>
        </w:rPr>
      </w:pPr>
      <w:r>
        <w:rPr>
          <w:b w:val="false"/>
        </w:rPr>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(the “</w:t>
      </w:r>
      <w:r>
        <w:rPr>
          <w:u w:val="single"/>
        </w:rPr>
        <w:t>Fort Union Credit Agreement</w:t>
      </w:r>
      <w:r>
        <w:rPr/>
        <w:t>”), including:</w:t>
      </w:r>
    </w:p>
    <w:p>
      <w:pPr>
        <w:pStyle w:val="BlockText"/>
        <w:jc w:val="both"/>
        <w:rPr/>
      </w:pPr>
      <w:r>
        <w:rPr/>
      </w:r>
    </w:p>
    <w:p>
      <w:pPr>
        <w:pStyle w:val="BlockText"/>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jc w:val="both"/>
        <w:rPr/>
      </w:pPr>
      <w:r>
        <w:rPr/>
        <w:t>The Consent to Assignment, dated as of April 16, 1999, between Enron North America Corp. and said Administrative Agent.</w:t>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jc w:val="both"/>
        <w:rPr/>
      </w:pPr>
      <w:r>
        <w:rPr/>
      </w:r>
    </w:p>
    <w:p>
      <w:pPr>
        <w:pStyle w:val="BlockText"/>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jc w:val="both"/>
        <w:rPr/>
      </w:pPr>
      <w:r>
        <w:rPr/>
        <w:t>The Consent to Assignment, dated as of September [__], 2000, between Enron North America Corp. and said Administrative Agent.</w:t>
      </w:r>
    </w:p>
    <w:p>
      <w:pPr>
        <w:pStyle w:val="ListNumber2"/>
        <w:numPr>
          <w:ilvl w:val="0"/>
          <w:numId w:val="5"/>
        </w:numPr>
        <w:tabs>
          <w:tab w:val="left" w:pos="720" w:leader="none"/>
        </w:tabs>
        <w:ind w:hanging="0" w:start="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Corp.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562951.10</w:t>
      <w:tab/>
    </w:r>
    <w:r>
      <w:rPr>
        <w:i/>
        <w:sz w:val="20"/>
      </w:rPr>
      <w:t>Purchase and Sale Agreement</w:t>
    </w:r>
  </w:p>
  <w:p>
    <w:pPr>
      <w:pStyle w:val="Footer"/>
      <w:tabs>
        <w:tab w:val="clear" w:pos="4320"/>
        <w:tab w:val="clear" w:pos="8640"/>
        <w:tab w:val="right" w:pos="9360" w:leader="none"/>
      </w:tabs>
      <w:rPr>
        <w:i/>
        <w:i/>
        <w:sz w:val="20"/>
      </w:rPr>
    </w:pPr>
    <w:r>
      <w:rPr>
        <w:i/>
        <w:sz w:val="20"/>
      </w:rPr>
      <w:tab/>
      <w:t>Draft of 9-13-00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40</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low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Courier New" w:hAnsi="Courier New" w:cs="Courier New"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bullet"/>
      <w:lvlText w:val=""/>
      <w:lvlJc w:val="start"/>
      <w:pPr>
        <w:tabs>
          <w:tab w:val="num" w:pos="360"/>
        </w:tabs>
        <w:ind w:start="360" w:hanging="360"/>
      </w:pPr>
      <w:rPr>
        <w:rFonts w:ascii="Courier New" w:hAnsi="Courier New" w:cs="Courier New" w:hint="default"/>
      </w:rPr>
    </w:lvl>
  </w:abstractNum>
  <w:abstractNum w:abstractNumId="11">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lowerLetter"/>
      <w:lvlText w:val="(%1)"/>
      <w:lvlJc w:val="start"/>
      <w:pPr>
        <w:tabs>
          <w:tab w:val="num" w:pos="1800"/>
        </w:tabs>
        <w:ind w:start="0" w:firstLine="1440"/>
      </w:pPr>
      <w:rPr>
        <w:sz w:val="22"/>
        <w:i w:val="false"/>
        <w:u w:val="none"/>
        <w:b w:val="false"/>
        <w:rFonts w:ascii="Courier New" w:hAnsi="Courier New" w:cs="Courier New"/>
      </w:rPr>
    </w:lvl>
    <w:lvl w:ilvl="1">
      <w:start w:val="1"/>
      <w:numFmt w:val="lowerLetter"/>
      <w:lvlText w:val="(%2)"/>
      <w:lvlJc w:val="start"/>
      <w:pPr>
        <w:tabs>
          <w:tab w:val="num" w:pos="360"/>
        </w:tabs>
        <w:ind w:start="1440" w:firstLine="1440"/>
      </w:pPr>
      <w:rPr>
        <w:sz w:val="24"/>
        <w:i w:val="false"/>
        <w:u w:val="none"/>
        <w:b w:val="false"/>
        <w:rFonts w:ascii="Courier New" w:hAnsi="Courier New" w:cs="Courier New"/>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Courier New" w:hAnsi="Courier New" w:cs="Courier New" w:hint="default"/>
        <w:sz w:val="28"/>
        <w:color w:val="000000"/>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8"/>
      <w:numFmt w:val="lowerRoman"/>
      <w:lvlText w:val=""/>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rFonts w:ascii="Times New Roman" w:hAnsi="Times New Roman" w:cs="Times New Roman"/>
      <w:b/>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s>
      <w:spacing w:before="0" w:after="240"/>
      <w:jc w:val="both"/>
      <w:outlineLvl w:val="3"/>
    </w:pPr>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color w:val="auto"/>
      <w:sz w:val="24"/>
      <w:u w:val="none"/>
    </w:rPr>
  </w:style>
  <w:style w:type="character" w:styleId="WW8Num25z2">
    <w:name w:val="WW8Num25z2"/>
    <w:qFormat/>
    <w:rPr>
      <w:u w:val="none"/>
    </w:rPr>
  </w:style>
  <w:style w:type="character" w:styleId="WW8Num25z8">
    <w:name w:val="WW8Num25z8"/>
    <w:qFormat/>
    <w:rPr>
      <w:rFonts w:ascii="Courier New" w:hAnsi="Courier New" w:cs="Courier New"/>
      <w:color w:val="auto"/>
      <w:sz w:val="28"/>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Courier New" w:hAnsi="Courier New" w:cs="Courier New"/>
      <w:b w:val="false"/>
      <w:i w:val="false"/>
      <w:sz w:val="22"/>
      <w:u w:val="none"/>
    </w:rPr>
  </w:style>
  <w:style w:type="character" w:styleId="WW8Num35z1">
    <w:name w:val="WW8Num35z1"/>
    <w:qFormat/>
    <w:rPr>
      <w:rFonts w:ascii="Courier New" w:hAnsi="Courier New" w:cs="Courier New"/>
      <w:b w:val="false"/>
      <w:i w:val="false"/>
      <w:sz w:val="24"/>
      <w:u w:val="none"/>
    </w:rPr>
  </w:style>
  <w:style w:type="character" w:styleId="WW8Num35z2">
    <w:name w:val="WW8Num35z2"/>
    <w:qFormat/>
    <w:rPr/>
  </w:style>
  <w:style w:type="character" w:styleId="WW8Num35z8">
    <w:name w:val="WW8Num35z8"/>
    <w:qFormat/>
    <w:rPr>
      <w:rFonts w:ascii="Courier New" w:hAnsi="Courier New" w:cs="Courier New"/>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PathID">
    <w:name w:val="PathID"/>
    <w:basedOn w:val="DefaultParagraphFont"/>
    <w:qFormat/>
    <w:rPr>
      <w:rFonts w:ascii="Times New Roman" w:hAnsi="Times New Roman" w:cs="Times New Roman"/>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Normal"/>
    <w:qFormat/>
    <w:pPr>
      <w:spacing w:before="0" w:after="240"/>
      <w:jc w:val="center"/>
    </w:pPr>
    <w:rPr>
      <w:rFonts w:ascii="Times New Roman" w:hAnsi="Times New Roman" w:cs="Times New Roman"/>
      <w:b/>
    </w:rPr>
  </w:style>
  <w:style w:type="paragraph" w:styleId="BodyText">
    <w:name w:val="Body Text"/>
    <w:basedOn w:val="Normal"/>
    <w:pPr>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7">
    <w:name w:val="Heading 17"/>
    <w:basedOn w:val="Heading2"/>
    <w:qFormat/>
    <w:pPr>
      <w:numPr>
        <w:ilvl w:val="0"/>
        <w:numId w:val="11"/>
      </w:numPr>
      <w:outlineLvl w:val="9"/>
    </w:pPr>
    <w:rPr>
      <w:b/>
    </w:rPr>
  </w:style>
  <w:style w:type="paragraph" w:styleId="Heading18">
    <w:name w:val="Heading 18"/>
    <w:basedOn w:val="Heading2"/>
    <w:qFormat/>
    <w:pPr>
      <w:numPr>
        <w:ilvl w:val="0"/>
        <w:numId w:val="11"/>
      </w:numPr>
      <w:outlineLvl w:val="9"/>
    </w:pPr>
    <w:rPr>
      <w:b/>
    </w:rPr>
  </w:style>
  <w:style w:type="paragraph" w:styleId="Heading19">
    <w:name w:val="Heading 19"/>
    <w:basedOn w:val="Heading2"/>
    <w:qFormat/>
    <w:pPr>
      <w:numPr>
        <w:ilvl w:val="0"/>
        <w:numId w:val="11"/>
      </w:numPr>
      <w:outlineLvl w:val="9"/>
    </w:pPr>
    <w:rPr>
      <w:b/>
    </w:rPr>
  </w:style>
  <w:style w:type="paragraph" w:styleId="Heading21">
    <w:name w:val="Heading 21"/>
    <w:basedOn w:val="Heading2"/>
    <w:qFormat/>
    <w:pPr>
      <w:numPr>
        <w:ilvl w:val="0"/>
        <w:numId w:val="12"/>
      </w:numPr>
      <w:outlineLvl w:val="9"/>
    </w:pPr>
    <w:rPr>
      <w:b/>
    </w:rPr>
  </w:style>
  <w:style w:type="paragraph" w:styleId="Heading22">
    <w:name w:val="Heading 22"/>
    <w:basedOn w:val="Normal"/>
    <w:qFormat/>
    <w:pPr>
      <w:widowControl/>
      <w:numPr>
        <w:ilvl w:val="0"/>
        <w:numId w:val="12"/>
      </w:numPr>
      <w:jc w:val="both"/>
    </w:pPr>
    <w:rPr/>
  </w:style>
  <w:style w:type="paragraph" w:styleId="Heading23">
    <w:name w:val="Heading 23"/>
    <w:basedOn w:val="Heading2"/>
    <w:qFormat/>
    <w:pPr>
      <w:numPr>
        <w:ilvl w:val="0"/>
        <w:numId w:val="12"/>
      </w:numPr>
      <w:outlineLvl w:val="9"/>
    </w:pPr>
    <w:rPr>
      <w:b/>
    </w:rPr>
  </w:style>
  <w:style w:type="paragraph" w:styleId="Heading24">
    <w:name w:val="Heading 24"/>
    <w:basedOn w:val="Heading2"/>
    <w:qFormat/>
    <w:pPr>
      <w:numPr>
        <w:ilvl w:val="0"/>
        <w:numId w:val="12"/>
      </w:numPr>
      <w:outlineLvl w:val="9"/>
    </w:pPr>
    <w:rPr>
      <w:b/>
    </w:rPr>
  </w:style>
  <w:style w:type="paragraph" w:styleId="Heading25">
    <w:name w:val="Heading 25"/>
    <w:basedOn w:val="Heading2"/>
    <w:qFormat/>
    <w:pPr>
      <w:numPr>
        <w:ilvl w:val="0"/>
        <w:numId w:val="12"/>
      </w:numPr>
      <w:outlineLvl w:val="9"/>
    </w:pPr>
    <w:rPr>
      <w:b/>
    </w:rPr>
  </w:style>
  <w:style w:type="paragraph" w:styleId="Heading26">
    <w:name w:val="Heading 26"/>
    <w:basedOn w:val="Heading2"/>
    <w:qFormat/>
    <w:pPr>
      <w:numPr>
        <w:ilvl w:val="0"/>
        <w:numId w:val="12"/>
      </w:numPr>
      <w:outlineLvl w:val="9"/>
    </w:pPr>
    <w:rPr>
      <w:b/>
    </w:rPr>
  </w:style>
  <w:style w:type="paragraph" w:styleId="Heading27">
    <w:name w:val="Heading 27"/>
    <w:basedOn w:val="Heading2"/>
    <w:qFormat/>
    <w:pPr>
      <w:numPr>
        <w:ilvl w:val="0"/>
        <w:numId w:val="12"/>
      </w:numPr>
      <w:outlineLvl w:val="9"/>
    </w:pPr>
    <w:rPr>
      <w:b/>
    </w:rPr>
  </w:style>
  <w:style w:type="paragraph" w:styleId="Heading28">
    <w:name w:val="Heading 28"/>
    <w:basedOn w:val="Heading2"/>
    <w:qFormat/>
    <w:pPr>
      <w:numPr>
        <w:ilvl w:val="0"/>
        <w:numId w:val="12"/>
      </w:numPr>
      <w:outlineLvl w:val="9"/>
    </w:pPr>
    <w:rPr>
      <w:b/>
    </w:rPr>
  </w:style>
  <w:style w:type="paragraph" w:styleId="Heading29">
    <w:name w:val="Heading 29"/>
    <w:basedOn w:val="Heading2"/>
    <w:qFormat/>
    <w:pPr>
      <w:numPr>
        <w:ilvl w:val="0"/>
        <w:numId w:val="12"/>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5"/>
      </w:numPr>
      <w:outlineLvl w:val="9"/>
    </w:pPr>
    <w:rPr>
      <w:b/>
    </w:rPr>
  </w:style>
  <w:style w:type="paragraph" w:styleId="Heading42">
    <w:name w:val="Heading 42"/>
    <w:basedOn w:val="Heading2"/>
    <w:qFormat/>
    <w:pPr>
      <w:numPr>
        <w:ilvl w:val="0"/>
        <w:numId w:val="15"/>
      </w:numPr>
      <w:outlineLvl w:val="9"/>
    </w:pPr>
    <w:rPr>
      <w:b/>
    </w:rPr>
  </w:style>
  <w:style w:type="paragraph" w:styleId="Heading43">
    <w:name w:val="Heading 43"/>
    <w:basedOn w:val="Heading2"/>
    <w:qFormat/>
    <w:pPr>
      <w:numPr>
        <w:ilvl w:val="0"/>
        <w:numId w:val="15"/>
      </w:numPr>
      <w:outlineLvl w:val="9"/>
    </w:pPr>
    <w:rPr>
      <w:b/>
    </w:rPr>
  </w:style>
  <w:style w:type="paragraph" w:styleId="Heading44">
    <w:name w:val="Heading 44"/>
    <w:basedOn w:val="Heading2"/>
    <w:qFormat/>
    <w:pPr>
      <w:numPr>
        <w:ilvl w:val="0"/>
        <w:numId w:val="15"/>
      </w:numPr>
      <w:outlineLvl w:val="9"/>
    </w:pPr>
    <w:rPr>
      <w:b/>
    </w:rPr>
  </w:style>
  <w:style w:type="paragraph" w:styleId="Heading45">
    <w:name w:val="Heading 45"/>
    <w:basedOn w:val="Heading2"/>
    <w:qFormat/>
    <w:pPr>
      <w:numPr>
        <w:ilvl w:val="0"/>
        <w:numId w:val="15"/>
      </w:numPr>
      <w:outlineLvl w:val="9"/>
    </w:pPr>
    <w:rPr>
      <w:b/>
    </w:rPr>
  </w:style>
  <w:style w:type="paragraph" w:styleId="Heading46">
    <w:name w:val="Heading 46"/>
    <w:basedOn w:val="Heading2"/>
    <w:qFormat/>
    <w:pPr>
      <w:numPr>
        <w:ilvl w:val="0"/>
        <w:numId w:val="15"/>
      </w:numPr>
      <w:outlineLvl w:val="9"/>
    </w:pPr>
    <w:rPr>
      <w:b/>
    </w:rPr>
  </w:style>
  <w:style w:type="paragraph" w:styleId="Heading47">
    <w:name w:val="Heading 47"/>
    <w:basedOn w:val="Heading2"/>
    <w:qFormat/>
    <w:pPr>
      <w:numPr>
        <w:ilvl w:val="0"/>
        <w:numId w:val="15"/>
      </w:numPr>
      <w:outlineLvl w:val="9"/>
    </w:pPr>
    <w:rPr>
      <w:b/>
    </w:rPr>
  </w:style>
  <w:style w:type="paragraph" w:styleId="Heading48">
    <w:name w:val="Heading 48"/>
    <w:basedOn w:val="Heading2"/>
    <w:qFormat/>
    <w:pPr>
      <w:numPr>
        <w:ilvl w:val="0"/>
        <w:numId w:val="15"/>
      </w:numPr>
      <w:outlineLvl w:val="9"/>
    </w:pPr>
    <w:rPr>
      <w:b/>
    </w:rPr>
  </w:style>
  <w:style w:type="paragraph" w:styleId="Heading49">
    <w:name w:val="Heading 49"/>
    <w:basedOn w:val="Heading2"/>
    <w:qFormat/>
    <w:pPr>
      <w:numPr>
        <w:ilvl w:val="0"/>
        <w:numId w:val="15"/>
      </w:numPr>
      <w:outlineLvl w:val="9"/>
    </w:pPr>
    <w:rPr>
      <w:b/>
    </w:rPr>
  </w:style>
  <w:style w:type="paragraph" w:styleId="Heading51">
    <w:name w:val="Heading 51"/>
    <w:basedOn w:val="Heading2"/>
    <w:qFormat/>
    <w:pPr>
      <w:numPr>
        <w:ilvl w:val="0"/>
        <w:numId w:val="16"/>
      </w:numPr>
      <w:outlineLvl w:val="9"/>
    </w:pPr>
    <w:rPr>
      <w:b/>
    </w:rPr>
  </w:style>
  <w:style w:type="paragraph" w:styleId="Heading52">
    <w:name w:val="Heading 52"/>
    <w:basedOn w:val="Normal"/>
    <w:qFormat/>
    <w:pPr>
      <w:widowControl/>
      <w:numPr>
        <w:ilvl w:val="0"/>
        <w:numId w:val="1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16"/>
      </w:numPr>
      <w:outlineLvl w:val="9"/>
    </w:pPr>
    <w:rPr>
      <w:b/>
    </w:rPr>
  </w:style>
  <w:style w:type="paragraph" w:styleId="Heading54">
    <w:name w:val="Heading 54"/>
    <w:basedOn w:val="Heading2"/>
    <w:qFormat/>
    <w:pPr>
      <w:numPr>
        <w:ilvl w:val="0"/>
        <w:numId w:val="16"/>
      </w:numPr>
      <w:outlineLvl w:val="9"/>
    </w:pPr>
    <w:rPr>
      <w:b/>
    </w:rPr>
  </w:style>
  <w:style w:type="paragraph" w:styleId="Heading55">
    <w:name w:val="Heading 55"/>
    <w:basedOn w:val="Heading2"/>
    <w:qFormat/>
    <w:pPr>
      <w:numPr>
        <w:ilvl w:val="0"/>
        <w:numId w:val="16"/>
      </w:numPr>
      <w:outlineLvl w:val="9"/>
    </w:pPr>
    <w:rPr>
      <w:b/>
    </w:rPr>
  </w:style>
  <w:style w:type="paragraph" w:styleId="Heading56">
    <w:name w:val="Heading 56"/>
    <w:basedOn w:val="Heading2"/>
    <w:qFormat/>
    <w:pPr>
      <w:numPr>
        <w:ilvl w:val="0"/>
        <w:numId w:val="16"/>
      </w:numPr>
      <w:outlineLvl w:val="9"/>
    </w:pPr>
    <w:rPr>
      <w:b/>
    </w:rPr>
  </w:style>
  <w:style w:type="paragraph" w:styleId="Heading57">
    <w:name w:val="Heading 57"/>
    <w:basedOn w:val="Heading2"/>
    <w:qFormat/>
    <w:pPr>
      <w:numPr>
        <w:ilvl w:val="0"/>
        <w:numId w:val="16"/>
      </w:numPr>
      <w:outlineLvl w:val="9"/>
    </w:pPr>
    <w:rPr>
      <w:b/>
    </w:rPr>
  </w:style>
  <w:style w:type="paragraph" w:styleId="Heading58">
    <w:name w:val="Heading 58"/>
    <w:basedOn w:val="Heading2"/>
    <w:qFormat/>
    <w:pPr>
      <w:numPr>
        <w:ilvl w:val="0"/>
        <w:numId w:val="16"/>
      </w:numPr>
      <w:outlineLvl w:val="9"/>
    </w:pPr>
    <w:rPr>
      <w:b/>
    </w:rPr>
  </w:style>
  <w:style w:type="paragraph" w:styleId="Heading59">
    <w:name w:val="Heading 59"/>
    <w:basedOn w:val="Heading2"/>
    <w:qFormat/>
    <w:pPr>
      <w:numPr>
        <w:ilvl w:val="0"/>
        <w:numId w:val="16"/>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CommentText">
    <w:name w:val="Comment Text"/>
    <w:basedOn w:val="Normal"/>
    <w:qFormat/>
    <w:pPr/>
    <w:rPr>
      <w:sz w:val="20"/>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7"/>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rPr>
  </w:style>
  <w:style w:type="paragraph" w:styleId="BodyTextIndent">
    <w:name w:val="Body Text Indent"/>
    <w:basedOn w:val="Normal"/>
    <w:pPr>
      <w:ind w:hanging="0" w:start="1872" w:end="0"/>
    </w:pPr>
    <w:rPr/>
  </w:style>
  <w:style w:type="paragraph" w:styleId="BlockText">
    <w:name w:val="Block Text"/>
    <w:basedOn w:val="Normal"/>
    <w:qFormat/>
    <w:pPr>
      <w:spacing w:before="0" w:after="120"/>
      <w:ind w:hanging="0" w:start="1440" w:end="14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2000-09-13T22:15:00Z</dcterms:created>
  <dc:creator>CMS Energy</dc:creator>
  <dc:description/>
  <dc:language>en-CA</dc:language>
  <cp:lastModifiedBy>A&amp;K</cp:lastModifiedBy>
  <cp:lastPrinted>2000-08-31T21:49:00Z</cp:lastPrinted>
  <dcterms:modified xsi:type="dcterms:W3CDTF">2000-09-13T22:15:00Z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