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widowControl/>
        <w:jc w:val="center"/>
        <w:rPr>
          <w:b/>
        </w:rPr>
      </w:pPr>
      <w:r>
        <w:rPr>
          <w:b/>
        </w:rPr>
        <w:t>COLUMBIA GAS TRANSMISSION CORPORATION</w:t>
      </w:r>
    </w:p>
    <w:p>
      <w:pPr>
        <w:pStyle w:val="Heading1"/>
        <w:widowControl/>
        <w:jc w:val="center"/>
        <w:rPr>
          <w:b/>
        </w:rPr>
      </w:pPr>
      <w:r>
        <w:rPr>
          <w:b/>
        </w:rPr>
        <w:t>NOTICE OF OPEN SEASON</w:t>
      </w:r>
    </w:p>
    <w:p>
      <w:pPr>
        <w:pStyle w:val="Normal"/>
        <w:widowControl/>
        <w:jc w:val="center"/>
        <w:rPr/>
      </w:pPr>
      <w:r>
        <w:rPr/>
        <w:t>Homestead Expansion</w:t>
      </w:r>
    </w:p>
    <w:p>
      <w:pPr>
        <w:pStyle w:val="Normal"/>
        <w:widowControl/>
        <w:rPr>
          <w:b/>
        </w:rPr>
      </w:pPr>
      <w:r>
        <w:rPr>
          <w:b/>
        </w:rPr>
      </w:r>
    </w:p>
    <w:p>
      <w:pPr>
        <w:pStyle w:val="Heading2"/>
        <w:widowControl/>
        <w:tabs>
          <w:tab w:val="clear" w:pos="1440"/>
          <w:tab w:val="left" w:pos="0" w:leader="none"/>
        </w:tabs>
        <w:ind w:hanging="0" w:start="0" w:end="0"/>
        <w:jc w:val="center"/>
        <w:rPr/>
      </w:pPr>
      <w:r>
        <w:rPr/>
        <w:t>Posted:  November 17, 2000</w:t>
      </w:r>
    </w:p>
    <w:p>
      <w:pPr>
        <w:pStyle w:val="Normal"/>
        <w:widowControl/>
        <w:rPr/>
      </w:pPr>
      <w:r>
        <w:rPr/>
      </w:r>
    </w:p>
    <w:p>
      <w:pPr>
        <w:pStyle w:val="Normal"/>
        <w:widowControl/>
        <w:jc w:val="both"/>
        <w:rPr>
          <w:b/>
          <w:u w:val="single"/>
        </w:rPr>
      </w:pPr>
      <w:r>
        <w:rPr>
          <w:b/>
          <w:u w:val="single"/>
        </w:rPr>
        <w:t>Overview</w:t>
      </w:r>
    </w:p>
    <w:p>
      <w:pPr>
        <w:pStyle w:val="Normal"/>
        <w:widowControl/>
        <w:jc w:val="both"/>
        <w:rPr>
          <w:b/>
          <w:u w:val="single"/>
        </w:rPr>
      </w:pPr>
      <w:r>
        <w:rPr>
          <w:b/>
          <w:u w:val="single"/>
        </w:rPr>
      </w:r>
    </w:p>
    <w:p>
      <w:pPr>
        <w:pStyle w:val="BodyText"/>
        <w:widowControl/>
        <w:jc w:val="both"/>
        <w:rPr/>
      </w:pPr>
      <w:r>
        <w:rPr/>
        <w:t xml:space="preserve">Over the course of the past several months, Columbia has received several inquiries relating to capacity availability in the Southeastern Virginia and North Carolina regions, including Columbia's Operating Areas 1 and 10.  Based on these inquiries, Columbia believes that there may be a need for additional capacity to meet the requirements of the market in this region.  In order to better assess the specific needs for service in this region, Columbia is holding this open season to solicit requests for capacity and service.  Due to the varied nature of the inquiries to date, Columbia is not proposing an exact route or location for facilities, nor is Columbia proposing specific rates or terms and conditions of service.  Rather, Columbia is requesting that interested parties submit a request for capacity and service in accordance with the terms set forth below.  Based on the requests that are received, Columbia intends to develop a more specific proposal for service and capacity aimed at minimizing capital expenditures and maximizing customer value.  </w:t>
      </w:r>
    </w:p>
    <w:p>
      <w:pPr>
        <w:pStyle w:val="Normal"/>
        <w:widowControl/>
        <w:jc w:val="both"/>
        <w:rPr/>
      </w:pPr>
      <w:r>
        <w:rPr/>
      </w:r>
    </w:p>
    <w:p>
      <w:pPr>
        <w:pStyle w:val="Normal"/>
        <w:widowControl/>
        <w:jc w:val="both"/>
        <w:rPr>
          <w:b/>
          <w:u w:val="single"/>
        </w:rPr>
      </w:pPr>
      <w:r>
        <w:rPr>
          <w:b/>
          <w:u w:val="single"/>
        </w:rPr>
        <w:t>Length of Open Season</w:t>
      </w:r>
    </w:p>
    <w:p>
      <w:pPr>
        <w:pStyle w:val="Normal"/>
        <w:widowControl/>
        <w:jc w:val="both"/>
        <w:rPr/>
      </w:pPr>
      <w:r>
        <w:rPr/>
      </w:r>
    </w:p>
    <w:p>
      <w:pPr>
        <w:pStyle w:val="Normal"/>
        <w:widowControl/>
        <w:jc w:val="both"/>
        <w:rPr/>
      </w:pPr>
      <w:r>
        <w:rPr/>
        <w:t xml:space="preserve">The open season period will commence on Friday, November 17, 2000, and close at 4:30 p.m. E.T. on Friday, January 19, 2001.  During the open season, interested parties desiring service should submit a request form in accordance with the minimum requirements set forth in this notice.  </w:t>
      </w:r>
    </w:p>
    <w:p>
      <w:pPr>
        <w:pStyle w:val="Normal"/>
        <w:widowControl/>
        <w:jc w:val="both"/>
        <w:rPr/>
      </w:pPr>
      <w:r>
        <w:rPr/>
      </w:r>
    </w:p>
    <w:p>
      <w:pPr>
        <w:pStyle w:val="Heading3"/>
        <w:widowControl/>
        <w:tabs>
          <w:tab w:val="clear" w:pos="2160"/>
        </w:tabs>
        <w:ind w:hanging="0" w:start="0" w:end="0"/>
        <w:rPr>
          <w:b/>
          <w:u w:val="single"/>
        </w:rPr>
      </w:pPr>
      <w:r>
        <w:rPr>
          <w:b/>
          <w:u w:val="single"/>
        </w:rPr>
        <w:t>Service Description</w:t>
      </w:r>
    </w:p>
    <w:p>
      <w:pPr>
        <w:pStyle w:val="BodyText"/>
        <w:widowControl/>
        <w:jc w:val="both"/>
        <w:rPr/>
      </w:pPr>
      <w:r>
        <w:rPr/>
        <w:t xml:space="preserve">Subject to the terms of this open season and depending upon the interest expressed through completed request forms, Columbia will evaluate the possibility of increasing the capacity available to interested parties in the Southeastern Virginia and North Carolina region.  Columbia will consider requests for service under its Firm Transportation Service ("FTS"), Firm Storage Service ("FSS") and Storage Service Transportation ("SST") Rate Schedules.  Interested parties are encouraged to submit requests for such service(s) and Columbia will evaluate these within the overall context of the scope of any expansion proposal.  </w:t>
      </w:r>
    </w:p>
    <w:p>
      <w:pPr>
        <w:pStyle w:val="BodyText"/>
        <w:widowControl/>
        <w:jc w:val="both"/>
        <w:rPr/>
      </w:pPr>
      <w:r>
        <w:rPr/>
      </w:r>
    </w:p>
    <w:p>
      <w:pPr>
        <w:pStyle w:val="BodyText"/>
        <w:widowControl/>
        <w:jc w:val="both"/>
        <w:rPr/>
      </w:pPr>
      <w:r>
        <w:rPr/>
        <w:t xml:space="preserve">Columbia also will evaluate non-binding proposals from existing customers to turn back firm capacity under existing service agreements that may reduce the amount of capacity for which facilities would ultimately need to be constructed.  However, any such proposal(s) would have to be compatible with the specific terms of any project that Columbia may ultimately propose.  </w:t>
      </w:r>
    </w:p>
    <w:p>
      <w:pPr>
        <w:pStyle w:val="BodyText"/>
        <w:keepNext w:val="true"/>
        <w:widowControl/>
        <w:jc w:val="both"/>
        <w:rPr>
          <w:b/>
          <w:u w:val="single"/>
        </w:rPr>
      </w:pPr>
      <w:r>
        <w:rPr>
          <w:b/>
          <w:u w:val="single"/>
        </w:rPr>
        <w:t>Contract Term/Service Commencement</w:t>
      </w:r>
    </w:p>
    <w:p>
      <w:pPr>
        <w:pStyle w:val="BodyText"/>
        <w:keepNext w:val="true"/>
        <w:widowControl/>
        <w:jc w:val="both"/>
        <w:rPr>
          <w:b/>
          <w:u w:val="single"/>
        </w:rPr>
      </w:pPr>
      <w:r>
        <w:rPr>
          <w:b/>
          <w:u w:val="single"/>
        </w:rPr>
      </w:r>
    </w:p>
    <w:p>
      <w:pPr>
        <w:pStyle w:val="BodyText"/>
        <w:widowControl/>
        <w:jc w:val="both"/>
        <w:rPr/>
      </w:pPr>
      <w:r>
        <w:rPr/>
        <w:t xml:space="preserve">The minimum contract term that Columbia will consider is ten (10) years.  Interested parties that desire longer terms may submit proposed terms for consideration.  Parties submitting a request form should indicate a preferred service commencement date, with the earliest commencement date being November 1, 2002.  </w:t>
      </w:r>
    </w:p>
    <w:p>
      <w:pPr>
        <w:pStyle w:val="Normal"/>
        <w:widowControl/>
        <w:jc w:val="both"/>
        <w:rPr/>
      </w:pPr>
      <w:r>
        <w:rPr/>
      </w:r>
    </w:p>
    <w:p>
      <w:pPr>
        <w:pStyle w:val="Heading3"/>
        <w:keepNext w:val="true"/>
        <w:widowControl/>
        <w:tabs>
          <w:tab w:val="clear" w:pos="2160"/>
        </w:tabs>
        <w:ind w:hanging="0" w:start="0" w:end="0"/>
        <w:rPr>
          <w:b/>
          <w:u w:val="single"/>
        </w:rPr>
      </w:pPr>
      <w:r>
        <w:rPr>
          <w:b/>
          <w:u w:val="single"/>
        </w:rPr>
        <w:t>Rates</w:t>
      </w:r>
    </w:p>
    <w:p>
      <w:pPr>
        <w:pStyle w:val="Normal"/>
        <w:widowControl/>
        <w:jc w:val="both"/>
        <w:rPr/>
      </w:pPr>
      <w:r>
        <w:rPr/>
        <w:t xml:space="preserve">Rates will be derived in accordance with Columbia's FERC Gas Tariff, based upon an evaluation of requests for service and capital expenditures necessary to meet such requests.  </w:t>
      </w:r>
    </w:p>
    <w:p>
      <w:pPr>
        <w:pStyle w:val="Normal"/>
        <w:widowControl/>
        <w:jc w:val="both"/>
        <w:rPr>
          <w:b/>
          <w:u w:val="single"/>
        </w:rPr>
      </w:pPr>
      <w:r>
        <w:rPr>
          <w:b/>
          <w:u w:val="single"/>
        </w:rPr>
      </w:r>
    </w:p>
    <w:p>
      <w:pPr>
        <w:pStyle w:val="Heading3"/>
        <w:widowControl/>
        <w:tabs>
          <w:tab w:val="clear" w:pos="2160"/>
        </w:tabs>
        <w:ind w:hanging="0" w:start="0" w:end="0"/>
        <w:rPr>
          <w:b/>
          <w:u w:val="single"/>
        </w:rPr>
      </w:pPr>
      <w:r>
        <w:rPr>
          <w:b/>
          <w:u w:val="single"/>
        </w:rPr>
        <w:t>Participation in the Open Season</w:t>
      </w:r>
    </w:p>
    <w:p>
      <w:pPr>
        <w:pStyle w:val="Normal"/>
        <w:widowControl/>
        <w:jc w:val="both"/>
        <w:rPr/>
      </w:pPr>
      <w:r>
        <w:rPr/>
        <w:t>To participate in Columbia’s open season, interested parties desiring service should submit a request, which includes the following items, by 4:30 p.m. E.T. on January 19, 2001:</w:t>
      </w:r>
    </w:p>
    <w:p>
      <w:pPr>
        <w:pStyle w:val="Normal"/>
        <w:widowControl/>
        <w:ind w:start="720" w:end="0"/>
        <w:jc w:val="both"/>
        <w:rPr/>
      </w:pPr>
      <w:r>
        <w:rPr/>
      </w:r>
    </w:p>
    <w:p>
      <w:pPr>
        <w:pStyle w:val="Normal"/>
        <w:widowControl/>
        <w:numPr>
          <w:ilvl w:val="0"/>
          <w:numId w:val="3"/>
        </w:numPr>
        <w:tabs>
          <w:tab w:val="clear" w:pos="720"/>
        </w:tabs>
        <w:ind w:hanging="360" w:start="1080" w:end="0"/>
        <w:jc w:val="both"/>
        <w:rPr/>
      </w:pPr>
      <w:r>
        <w:rPr/>
        <w:t>One completed request form (attached), with specific attention to the primary term of service, service commencement date, total capacity requested, and the desired receipt and delivery point(s);</w:t>
      </w:r>
    </w:p>
    <w:p>
      <w:pPr>
        <w:pStyle w:val="Normal"/>
        <w:widowControl/>
        <w:ind w:start="1080" w:end="0"/>
        <w:jc w:val="both"/>
        <w:rPr/>
      </w:pPr>
      <w:r>
        <w:rPr/>
      </w:r>
    </w:p>
    <w:p>
      <w:pPr>
        <w:pStyle w:val="Normal"/>
        <w:widowControl/>
        <w:numPr>
          <w:ilvl w:val="0"/>
          <w:numId w:val="3"/>
        </w:numPr>
        <w:tabs>
          <w:tab w:val="clear" w:pos="720"/>
        </w:tabs>
        <w:ind w:hanging="360" w:start="1080" w:end="0"/>
        <w:jc w:val="both"/>
        <w:rPr/>
      </w:pPr>
      <w:r>
        <w:rPr/>
        <w:t>One completed Credit Application Form (attached), to be submitted only by interested parties that do not currently receive service from Columbia.</w:t>
      </w:r>
    </w:p>
    <w:p>
      <w:pPr>
        <w:pStyle w:val="Normal"/>
        <w:widowControl/>
        <w:jc w:val="both"/>
        <w:rPr>
          <w:b/>
          <w:u w:val="single"/>
        </w:rPr>
      </w:pPr>
      <w:r>
        <w:rPr>
          <w:b/>
          <w:u w:val="single"/>
        </w:rPr>
      </w:r>
    </w:p>
    <w:p>
      <w:pPr>
        <w:pStyle w:val="Normal"/>
        <w:widowControl/>
        <w:jc w:val="both"/>
        <w:rPr>
          <w:b/>
          <w:u w:val="single"/>
        </w:rPr>
      </w:pPr>
      <w:r>
        <w:rPr>
          <w:b/>
          <w:u w:val="single"/>
        </w:rPr>
        <w:t>Request Form Assessment/Finalizing Service Arrangements</w:t>
      </w:r>
    </w:p>
    <w:p>
      <w:pPr>
        <w:pStyle w:val="Normal"/>
        <w:widowControl/>
        <w:jc w:val="both"/>
        <w:rPr>
          <w:b/>
          <w:u w:val="single"/>
        </w:rPr>
      </w:pPr>
      <w:r>
        <w:rPr>
          <w:b/>
          <w:u w:val="single"/>
        </w:rPr>
      </w:r>
    </w:p>
    <w:p>
      <w:pPr>
        <w:pStyle w:val="Normal"/>
        <w:widowControl/>
        <w:jc w:val="both"/>
        <w:rPr>
          <w:b/>
        </w:rPr>
      </w:pPr>
      <w:r>
        <w:rPr/>
        <w:t xml:space="preserve">Upon the close of the open season, Columbia will assess requests for service.  Columbia will evaluate the system enhancements and capital requirements necessary to provide requested service and attempt to develop rates and terms and conditions of service based on the required system enhancements.  If in Columbia's sole discretion, there is enough interest to justify going forward with a proposed project, Columbia will notify parties that submitted request forms as to their award of any expansion capacity.  In the event requests for capacity exceed the amount of expansion capacity that Columbia can economically construct and make available, available expansion capacity will be allocated on a non-discriminatory basis.  </w:t>
      </w:r>
    </w:p>
    <w:p>
      <w:pPr>
        <w:pStyle w:val="Normal"/>
        <w:widowControl/>
        <w:jc w:val="both"/>
        <w:rPr>
          <w:b/>
        </w:rPr>
      </w:pPr>
      <w:r>
        <w:rPr>
          <w:b/>
        </w:rPr>
      </w:r>
    </w:p>
    <w:p>
      <w:pPr>
        <w:pStyle w:val="Normal"/>
        <w:widowControl/>
        <w:jc w:val="both"/>
        <w:rPr/>
      </w:pPr>
      <w:r>
        <w:rPr/>
        <w:t>All parties awarded expansion capacity will be required to enter into binding precedent agreements and service agreements with Columbia.  Such agreements must be executed and returned to Columbia within a designated period of time, otherwise an award of expansion capacity will be subject to rejection.  All binding precedent agreements and service agreements entered into as a result of the open season must reflect an arm’s-length transaction between the requesting party and Columbia.  Following the return of executed agreements, Columbia may reallocate any remaining available capacity (if any), but will not be obligated to do so.  During the open season, affiliates of Columbia shall request capacity on the same basis as non-affiliates, that is, an affiliate’s request shall be evaluated using the same criteria used to evaluate non-affiliates.</w:t>
      </w:r>
    </w:p>
    <w:p>
      <w:pPr>
        <w:pStyle w:val="Normal"/>
        <w:widowControl/>
        <w:jc w:val="both"/>
        <w:rPr>
          <w:b/>
          <w:u w:val="single"/>
        </w:rPr>
      </w:pPr>
      <w:r>
        <w:rPr>
          <w:b/>
          <w:u w:val="single"/>
        </w:rPr>
        <w:t>Reservations</w:t>
      </w:r>
    </w:p>
    <w:p>
      <w:pPr>
        <w:pStyle w:val="Normal"/>
        <w:widowControl/>
        <w:jc w:val="both"/>
        <w:rPr/>
      </w:pPr>
      <w:r>
        <w:rPr/>
      </w:r>
    </w:p>
    <w:p>
      <w:pPr>
        <w:pStyle w:val="Normal"/>
        <w:widowControl/>
        <w:jc w:val="both"/>
        <w:rPr/>
      </w:pPr>
      <w:r>
        <w:rPr/>
        <w:t xml:space="preserve">These procedures and the attached forms are provided solely to enable interested parties to submit a request for an award of capacity.  Neither this open season notice, the attachments herein, nor information provided in response to questions or requests about these procedures shall constitute an enforceable agreement.  Columbia reserves the right to not make any capacity available, to conduct additional open seasons, to determine the size, scope, and cost of the project, to not consider requests that do not provide a sufficient level of detail to aid in the development of a proposed project, and to reject or accept materials it receives after the close of the open season.  </w:t>
      </w:r>
    </w:p>
    <w:p>
      <w:pPr>
        <w:pStyle w:val="Normal"/>
        <w:widowControl/>
        <w:jc w:val="both"/>
        <w:rPr/>
      </w:pPr>
      <w:r>
        <w:rPr/>
      </w:r>
    </w:p>
    <w:p>
      <w:pPr>
        <w:pStyle w:val="Normal"/>
        <w:widowControl/>
        <w:jc w:val="both"/>
        <w:rPr>
          <w:b/>
          <w:u w:val="single"/>
        </w:rPr>
      </w:pPr>
      <w:r>
        <w:rPr>
          <w:b/>
          <w:u w:val="single"/>
        </w:rPr>
        <w:t>Columbia Contact</w:t>
      </w:r>
    </w:p>
    <w:p>
      <w:pPr>
        <w:pStyle w:val="Normal"/>
        <w:widowControl/>
        <w:jc w:val="both"/>
        <w:rPr/>
      </w:pPr>
      <w:r>
        <w:rPr/>
      </w:r>
    </w:p>
    <w:p>
      <w:pPr>
        <w:pStyle w:val="Normal"/>
        <w:widowControl/>
        <w:jc w:val="both"/>
        <w:rPr/>
      </w:pPr>
      <w:r>
        <w:rPr/>
        <w:t>If any interested party has questions or desires additional forms or information concerning this notice and open season, please contact Michael J. Strauss by telephone at 703-227-3364, or by electronic mail at “mjstrauss@columbiaenergygroup.com.”</w:t>
      </w:r>
    </w:p>
    <w:p>
      <w:pPr>
        <w:pStyle w:val="Normal"/>
        <w:widowControl/>
        <w:jc w:val="both"/>
        <w:rPr/>
      </w:pPr>
      <w:r>
        <w:rPr/>
      </w:r>
      <w:r>
        <w:br w:type="page"/>
      </w:r>
    </w:p>
    <w:p>
      <w:pPr>
        <w:pStyle w:val="Normal"/>
        <w:widowControl/>
        <w:jc w:val="center"/>
        <w:rPr>
          <w:b/>
          <w:u w:val="single"/>
        </w:rPr>
      </w:pPr>
      <w:r>
        <w:rPr>
          <w:b/>
        </w:rPr>
        <w:t>OPEN SEASON REQUEST FORM</w:t>
      </w:r>
    </w:p>
    <w:p>
      <w:pPr>
        <w:pStyle w:val="Normal"/>
        <w:widowControl/>
        <w:jc w:val="center"/>
        <w:rPr>
          <w:b/>
        </w:rPr>
      </w:pPr>
      <w:r>
        <w:rPr>
          <w:b/>
        </w:rPr>
        <w:t>HOMESTEAD EXPANSION</w:t>
      </w:r>
    </w:p>
    <w:p>
      <w:pPr>
        <w:pStyle w:val="Header"/>
        <w:jc w:val="center"/>
        <w:rPr>
          <w:b/>
        </w:rPr>
      </w:pPr>
      <w:r>
        <w:rPr>
          <w:b/>
        </w:rPr>
        <w:t>Page 1 of 3</w:t>
      </w:r>
    </w:p>
    <w:p>
      <w:pPr>
        <w:pStyle w:val="Normal"/>
        <w:widowControl/>
        <w:rPr>
          <w:b/>
        </w:rPr>
      </w:pPr>
      <w:r>
        <w:rPr>
          <w:b/>
        </w:rPr>
      </w:r>
    </w:p>
    <w:p>
      <w:pPr>
        <w:pStyle w:val="Normal"/>
        <w:widowControl/>
        <w:rPr>
          <w:b/>
        </w:rPr>
      </w:pPr>
      <w:r>
        <w:rPr>
          <w:b/>
        </w:rPr>
      </w:r>
    </w:p>
    <w:p>
      <w:pPr>
        <w:pStyle w:val="BodyText"/>
        <w:widowControl/>
        <w:rPr/>
      </w:pPr>
      <w:r>
        <w:rPr/>
        <w:t>Please return this Open Season Request Form, by mail, overnight delivery, or facsimile on or before 4:30 p.m. E.T. on January 19, 2001, to:</w:t>
      </w:r>
    </w:p>
    <w:p>
      <w:pPr>
        <w:pStyle w:val="BodyText"/>
        <w:widowControl/>
        <w:rPr/>
      </w:pPr>
      <w:r>
        <w:rPr/>
      </w:r>
    </w:p>
    <w:p>
      <w:pPr>
        <w:pStyle w:val="BodyText"/>
        <w:widowControl/>
        <w:ind w:firstLine="720" w:start="1440" w:end="0"/>
        <w:rPr/>
      </w:pPr>
      <w:r>
        <w:rPr/>
        <w:t>Michael J. Strauss</w:t>
      </w:r>
    </w:p>
    <w:p>
      <w:pPr>
        <w:pStyle w:val="BodyText"/>
        <w:widowControl/>
        <w:ind w:start="2160" w:end="0"/>
        <w:rPr/>
      </w:pPr>
      <w:r>
        <w:rPr/>
        <w:t>Columbia Gas Transmission Corporation</w:t>
      </w:r>
    </w:p>
    <w:p>
      <w:pPr>
        <w:pStyle w:val="BodyText"/>
        <w:widowControl/>
        <w:ind w:start="2160" w:end="0"/>
        <w:rPr/>
      </w:pPr>
      <w:r>
        <w:rPr/>
        <w:t>12801 Fair Lakes Parkway</w:t>
      </w:r>
    </w:p>
    <w:p>
      <w:pPr>
        <w:pStyle w:val="BodyText"/>
        <w:widowControl/>
        <w:ind w:start="2160" w:end="0"/>
        <w:rPr/>
      </w:pPr>
      <w:r>
        <w:rPr/>
        <w:t>Fairfax, Virginia 22030-0146</w:t>
      </w:r>
    </w:p>
    <w:p>
      <w:pPr>
        <w:pStyle w:val="BodyText"/>
        <w:widowControl/>
        <w:ind w:start="2160" w:end="0"/>
        <w:rPr/>
      </w:pPr>
      <w:r>
        <w:rPr/>
        <w:t>Phone No.  703-227-3364</w:t>
      </w:r>
    </w:p>
    <w:p>
      <w:pPr>
        <w:pStyle w:val="BodyText"/>
        <w:widowControl/>
        <w:ind w:start="2160" w:end="0"/>
        <w:rPr/>
      </w:pPr>
      <w:r>
        <w:rPr/>
        <w:t>Facsimile No. 703-227-3326</w:t>
      </w:r>
    </w:p>
    <w:p>
      <w:pPr>
        <w:pStyle w:val="BodyText"/>
        <w:widowControl/>
        <w:rPr/>
      </w:pPr>
      <w:r>
        <w:rPr/>
      </w:r>
    </w:p>
    <w:p>
      <w:pPr>
        <w:pStyle w:val="BodyText"/>
        <w:widowControl/>
        <w:jc w:val="both"/>
        <w:rPr/>
      </w:pPr>
      <w:r>
        <w:rPr/>
        <w:t xml:space="preserve">This Request Form is subject to the requirements, conditions, and reservations set forth in the accompanying open season notice.  Please complete all sections of the form. </w:t>
      </w:r>
    </w:p>
    <w:p>
      <w:pPr>
        <w:pStyle w:val="BodyText"/>
        <w:widowControl/>
        <w:jc w:val="both"/>
        <w:rPr/>
      </w:pPr>
      <w:r>
        <w:rPr/>
      </w:r>
    </w:p>
    <w:p>
      <w:pPr>
        <w:pStyle w:val="Normal"/>
        <w:widowControl/>
        <w:rPr>
          <w:b/>
        </w:rPr>
      </w:pPr>
      <w:r>
        <w:rPr>
          <w:b/>
        </w:rPr>
      </w:r>
    </w:p>
    <w:p>
      <w:pPr>
        <w:pStyle w:val="BodyText"/>
        <w:widowControl/>
        <w:rPr>
          <w:b/>
        </w:rPr>
      </w:pPr>
      <w:r>
        <w:rPr>
          <w:b/>
          <w:u w:val="single"/>
        </w:rPr>
        <w:t>Customer Information</w:t>
      </w:r>
    </w:p>
    <w:p>
      <w:pPr>
        <w:pStyle w:val="BodyText"/>
        <w:widowControl/>
        <w:rPr>
          <w:b/>
          <w:u w:val="single"/>
        </w:rPr>
      </w:pPr>
      <w:r>
        <w:rPr>
          <w:b/>
          <w:u w:val="single"/>
        </w:rPr>
      </w:r>
    </w:p>
    <w:p>
      <w:pPr>
        <w:pStyle w:val="BodyText"/>
        <w:widowControl/>
        <w:spacing w:lineRule="auto" w:line="480"/>
        <w:rPr/>
      </w:pPr>
      <w:r>
        <w:rPr/>
        <w:t xml:space="preserve">Customer’s Company Name: </w:t>
      </w:r>
      <w:r>
        <w:rPr>
          <w:u w:val="single"/>
        </w:rPr>
        <w:tab/>
        <w:tab/>
        <w:tab/>
        <w:tab/>
        <w:tab/>
        <w:tab/>
        <w:tab/>
        <w:tab/>
        <w:tab/>
        <w:tab/>
      </w:r>
    </w:p>
    <w:p>
      <w:pPr>
        <w:pStyle w:val="BodyText"/>
        <w:widowControl/>
        <w:spacing w:lineRule="auto" w:line="480"/>
        <w:rPr/>
      </w:pPr>
      <w:r>
        <w:rPr/>
        <w:t xml:space="preserve">Customer’s Company Contact Name: </w:t>
      </w:r>
      <w:r>
        <w:rPr>
          <w:u w:val="single"/>
        </w:rPr>
        <w:tab/>
        <w:tab/>
        <w:tab/>
        <w:tab/>
        <w:tab/>
        <w:tab/>
        <w:tab/>
        <w:tab/>
      </w:r>
    </w:p>
    <w:p>
      <w:pPr>
        <w:pStyle w:val="BodyText"/>
        <w:widowControl/>
        <w:spacing w:lineRule="auto" w:line="480"/>
        <w:rPr/>
      </w:pPr>
      <w:r>
        <w:rPr/>
        <w:t xml:space="preserve">Title: </w:t>
      </w:r>
      <w:r>
        <w:rPr>
          <w:u w:val="single"/>
        </w:rPr>
        <w:tab/>
        <w:tab/>
        <w:tab/>
        <w:tab/>
        <w:tab/>
        <w:tab/>
        <w:tab/>
        <w:tab/>
        <w:tab/>
        <w:tab/>
        <w:tab/>
        <w:tab/>
        <w:tab/>
      </w:r>
    </w:p>
    <w:p>
      <w:pPr>
        <w:pStyle w:val="BodyText"/>
        <w:widowControl/>
        <w:spacing w:lineRule="auto" w:line="480"/>
        <w:rPr/>
      </w:pPr>
      <w:r>
        <w:rPr/>
        <w:t xml:space="preserve">Mailing Address: </w:t>
      </w:r>
      <w:r>
        <w:rPr>
          <w:u w:val="single"/>
        </w:rPr>
        <w:tab/>
        <w:tab/>
        <w:tab/>
        <w:tab/>
        <w:tab/>
        <w:tab/>
        <w:tab/>
        <w:tab/>
        <w:tab/>
        <w:tab/>
        <w:tab/>
      </w:r>
    </w:p>
    <w:p>
      <w:pPr>
        <w:pStyle w:val="BodyText"/>
        <w:widowControl/>
        <w:spacing w:lineRule="auto" w:line="480"/>
        <w:rPr/>
      </w:pPr>
      <w:r>
        <w:rPr/>
        <w:t xml:space="preserve">Delivery (or street) Address (if different): </w:t>
      </w:r>
      <w:r>
        <w:rPr>
          <w:u w:val="single"/>
        </w:rPr>
        <w:tab/>
        <w:tab/>
        <w:tab/>
        <w:tab/>
        <w:tab/>
        <w:tab/>
        <w:tab/>
        <w:tab/>
      </w:r>
    </w:p>
    <w:p>
      <w:pPr>
        <w:pStyle w:val="BodyText"/>
        <w:widowControl/>
        <w:spacing w:lineRule="auto" w:line="480"/>
        <w:rPr/>
      </w:pPr>
      <w:r>
        <w:rPr/>
        <w:t xml:space="preserve">Telephone Number: </w:t>
      </w:r>
      <w:r>
        <w:rPr>
          <w:u w:val="single"/>
        </w:rPr>
        <w:tab/>
        <w:tab/>
        <w:tab/>
        <w:tab/>
      </w:r>
      <w:r>
        <w:rPr/>
        <w:t xml:space="preserve">     Facsimile Number: </w:t>
      </w:r>
      <w:r>
        <w:rPr>
          <w:u w:val="single"/>
        </w:rPr>
        <w:tab/>
        <w:tab/>
        <w:tab/>
        <w:tab/>
      </w:r>
    </w:p>
    <w:p>
      <w:pPr>
        <w:pStyle w:val="BodyText"/>
        <w:widowControl/>
        <w:spacing w:lineRule="auto" w:line="480"/>
        <w:rPr/>
      </w:pPr>
      <w:r>
        <w:rPr/>
        <w:t xml:space="preserve">Electronic Mail Address: </w:t>
      </w:r>
      <w:r>
        <w:rPr>
          <w:u w:val="single"/>
        </w:rPr>
        <w:tab/>
        <w:tab/>
        <w:tab/>
        <w:tab/>
        <w:tab/>
        <w:tab/>
        <w:tab/>
        <w:tab/>
        <w:tab/>
        <w:tab/>
      </w:r>
    </w:p>
    <w:p>
      <w:pPr>
        <w:pStyle w:val="BodyText"/>
        <w:widowControl/>
        <w:spacing w:lineRule="auto" w:line="480"/>
        <w:rPr/>
      </w:pPr>
      <w:r>
        <w:rPr/>
        <w:t xml:space="preserve">Signature: </w:t>
      </w:r>
      <w:r>
        <w:rPr>
          <w:u w:val="single"/>
        </w:rPr>
        <w:tab/>
        <w:tab/>
        <w:tab/>
        <w:tab/>
        <w:tab/>
        <w:tab/>
        <w:tab/>
        <w:tab/>
        <w:tab/>
        <w:tab/>
        <w:tab/>
        <w:tab/>
      </w:r>
    </w:p>
    <w:p>
      <w:pPr>
        <w:sectPr>
          <w:footerReference w:type="default" r:id="rId2"/>
          <w:type w:val="nextPage"/>
          <w:pgSz w:w="12240" w:h="15840"/>
          <w:pgMar w:left="1440" w:right="1440" w:gutter="0" w:header="0" w:top="1440" w:footer="1008" w:bottom="1440"/>
          <w:pgNumType w:fmt="decimal"/>
          <w:formProt w:val="false"/>
          <w:textDirection w:val="lrTb"/>
          <w:docGrid w:type="default" w:linePitch="360" w:charSpace="0"/>
        </w:sectPr>
        <w:pStyle w:val="BodyText"/>
        <w:widowControl/>
        <w:ind w:firstLine="720" w:end="0"/>
        <w:rPr>
          <w:u w:val="single"/>
        </w:rPr>
      </w:pPr>
      <w:r>
        <w:rPr>
          <w:u w:val="single"/>
        </w:rPr>
      </w:r>
    </w:p>
    <w:p>
      <w:pPr>
        <w:pStyle w:val="Normal"/>
        <w:widowControl/>
        <w:jc w:val="center"/>
        <w:rPr>
          <w:b/>
          <w:u w:val="single"/>
        </w:rPr>
      </w:pPr>
      <w:r>
        <w:rPr>
          <w:b/>
        </w:rPr>
        <w:t>OPEN SEASON REQUEST FORM</w:t>
      </w:r>
    </w:p>
    <w:p>
      <w:pPr>
        <w:pStyle w:val="Normal"/>
        <w:widowControl/>
        <w:jc w:val="center"/>
        <w:rPr>
          <w:b/>
        </w:rPr>
      </w:pPr>
      <w:r>
        <w:rPr>
          <w:b/>
        </w:rPr>
        <w:t>HOMESTEAD EXPANSION</w:t>
      </w:r>
    </w:p>
    <w:p>
      <w:pPr>
        <w:pStyle w:val="Normal"/>
        <w:widowControl/>
        <w:jc w:val="center"/>
        <w:rPr>
          <w:b/>
        </w:rPr>
      </w:pPr>
      <w:r>
        <w:rPr>
          <w:b/>
        </w:rPr>
        <w:t>Page 2 of 3</w:t>
      </w:r>
    </w:p>
    <w:p>
      <w:pPr>
        <w:pStyle w:val="Normal"/>
        <w:widowControl/>
        <w:jc w:val="center"/>
        <w:rPr>
          <w:b/>
        </w:rPr>
      </w:pPr>
      <w:r>
        <w:rPr>
          <w:b/>
        </w:rPr>
      </w:r>
    </w:p>
    <w:p>
      <w:pPr>
        <w:pStyle w:val="Normal"/>
        <w:widowControl/>
        <w:jc w:val="center"/>
        <w:rPr/>
      </w:pPr>
      <w:r>
        <w:rPr/>
      </w:r>
    </w:p>
    <w:p>
      <w:pPr>
        <w:pStyle w:val="Normal"/>
        <w:rPr/>
      </w:pPr>
      <w:r>
        <w:rPr>
          <w:b/>
        </w:rPr>
        <w:t xml:space="preserve">NOMINATION FORM </w:t>
      </w:r>
      <w:r>
        <w:rPr/>
        <w:t xml:space="preserve">Customer Name:___________________________________________ </w:t>
      </w:r>
    </w:p>
    <w:p>
      <w:pPr>
        <w:pStyle w:val="Normal"/>
        <w:rPr/>
      </w:pPr>
      <w:r>
        <w:rPr/>
      </w:r>
    </w:p>
    <w:p>
      <w:pPr>
        <w:pStyle w:val="Normal"/>
        <w:tabs>
          <w:tab w:val="clear" w:pos="720"/>
          <w:tab w:val="left" w:pos="2160" w:leader="none"/>
        </w:tabs>
        <w:ind w:hanging="1440" w:start="1440" w:end="0"/>
        <w:rPr/>
      </w:pPr>
      <w:r>
        <w:rPr>
          <w:b/>
        </w:rPr>
        <w:t>Please note:</w:t>
        <w:tab/>
      </w:r>
      <w:r>
        <w:rPr/>
        <w:t>(1)</w:t>
        <w:tab/>
        <w:t>Please state the “desired” delivery point quantity.  Columbia Gas</w:t>
      </w:r>
    </w:p>
    <w:p>
      <w:pPr>
        <w:pStyle w:val="Normal"/>
        <w:ind w:start="2160" w:end="0"/>
        <w:rPr/>
      </w:pPr>
      <w:r>
        <w:rPr/>
        <w:t xml:space="preserve">Transmission will calculate retainage at the applicable retainage factors. </w:t>
      </w:r>
    </w:p>
    <w:p>
      <w:pPr>
        <w:pStyle w:val="Normal"/>
        <w:rPr/>
      </w:pPr>
      <w:r>
        <w:rPr/>
      </w:r>
    </w:p>
    <w:p>
      <w:pPr>
        <w:pStyle w:val="Normal"/>
        <w:numPr>
          <w:ilvl w:val="0"/>
          <w:numId w:val="2"/>
        </w:numPr>
        <w:rPr/>
      </w:pPr>
      <w:r>
        <w:rPr/>
        <w:t>For each year, state the incremental request for that year and not a cumulative number.</w:t>
      </w:r>
    </w:p>
    <w:p>
      <w:pPr>
        <w:pStyle w:val="Normal"/>
        <w:rPr/>
      </w:pPr>
      <w:r>
        <w:rPr/>
      </w:r>
    </w:p>
    <w:tbl>
      <w:tblPr>
        <w:tblW w:w="9270" w:type="dxa"/>
        <w:jc w:val="start"/>
        <w:tblInd w:w="108" w:type="dxa"/>
        <w:tblLayout w:type="fixed"/>
        <w:tblCellMar>
          <w:top w:w="0" w:type="dxa"/>
          <w:start w:w="108" w:type="dxa"/>
          <w:bottom w:w="0" w:type="dxa"/>
          <w:end w:w="108" w:type="dxa"/>
        </w:tblCellMar>
      </w:tblPr>
      <w:tblGrid>
        <w:gridCol w:w="900"/>
        <w:gridCol w:w="1080"/>
        <w:gridCol w:w="1710"/>
        <w:gridCol w:w="2880"/>
        <w:gridCol w:w="1350"/>
        <w:gridCol w:w="1350"/>
      </w:tblGrid>
      <w:tr>
        <w:trPr/>
        <w:tc>
          <w:tcPr>
            <w:tcW w:w="9270" w:type="dxa"/>
            <w:gridSpan w:val="6"/>
            <w:tcBorders>
              <w:top w:val="single" w:sz="4" w:space="0" w:color="000000"/>
              <w:start w:val="single" w:sz="4" w:space="0" w:color="000000"/>
              <w:end w:val="single" w:sz="4" w:space="0" w:color="000000"/>
            </w:tcBorders>
            <w:shd w:fill="D8D8D8" w:val="clear"/>
          </w:tcPr>
          <w:p>
            <w:pPr>
              <w:pStyle w:val="TxBrt1"/>
              <w:spacing w:lineRule="auto" w:line="240"/>
              <w:rPr>
                <w:b/>
              </w:rPr>
            </w:pPr>
            <w:r>
              <w:rPr>
                <w:b/>
              </w:rPr>
              <w:t xml:space="preserve">REQUESTED FIRM STORAGE SERVICE (FSS) AND STORAGE SERVICE TRANSPORTATION (SST) LEVELS (in dekatherms (Dth) beginning November 1) </w:t>
            </w:r>
          </w:p>
        </w:tc>
      </w:tr>
      <w:tr>
        <w:trPr/>
        <w:tc>
          <w:tcPr>
            <w:tcW w:w="900" w:type="dxa"/>
            <w:tcBorders>
              <w:top w:val="single" w:sz="4" w:space="0" w:color="000000"/>
              <w:start w:val="single" w:sz="4" w:space="0" w:color="000000"/>
              <w:end w:val="single" w:sz="4" w:space="0" w:color="000000"/>
            </w:tcBorders>
            <w:shd w:fill="D8D8D8" w:val="clear"/>
          </w:tcPr>
          <w:p>
            <w:pPr>
              <w:pStyle w:val="Normal"/>
              <w:snapToGrid w:val="false"/>
              <w:rPr>
                <w:b/>
              </w:rPr>
            </w:pPr>
            <w:r>
              <w:rPr>
                <w:b/>
              </w:rPr>
            </w:r>
          </w:p>
        </w:tc>
        <w:tc>
          <w:tcPr>
            <w:tcW w:w="1080" w:type="dxa"/>
            <w:tcBorders>
              <w:top w:val="single" w:sz="4" w:space="0" w:color="000000"/>
              <w:start w:val="single" w:sz="4" w:space="0" w:color="000000"/>
              <w:bottom w:val="single" w:sz="4" w:space="0" w:color="000000"/>
              <w:end w:val="single" w:sz="4" w:space="0" w:color="000000"/>
            </w:tcBorders>
            <w:shd w:fill="D8D8D8" w:val="clear"/>
          </w:tcPr>
          <w:p>
            <w:pPr>
              <w:pStyle w:val="Normal"/>
              <w:rPr>
                <w:b/>
                <w:sz w:val="22"/>
              </w:rPr>
            </w:pPr>
            <w:r>
              <w:rPr>
                <w:b/>
                <w:sz w:val="22"/>
              </w:rPr>
              <w:t>FSS Storage Contract Quantity (SCQ)</w:t>
            </w:r>
          </w:p>
        </w:tc>
        <w:tc>
          <w:tcPr>
            <w:tcW w:w="1710" w:type="dxa"/>
            <w:tcBorders>
              <w:top w:val="single" w:sz="4" w:space="0" w:color="000000"/>
              <w:start w:val="single" w:sz="4" w:space="0" w:color="000000"/>
              <w:bottom w:val="single" w:sz="4" w:space="0" w:color="000000"/>
              <w:end w:val="single" w:sz="4" w:space="0" w:color="000000"/>
            </w:tcBorders>
            <w:shd w:fill="D8D8D8" w:val="clear"/>
          </w:tcPr>
          <w:p>
            <w:pPr>
              <w:pStyle w:val="Normal"/>
              <w:rPr>
                <w:b/>
                <w:sz w:val="22"/>
              </w:rPr>
            </w:pPr>
            <w:r>
              <w:rPr>
                <w:b/>
                <w:sz w:val="22"/>
              </w:rPr>
              <w:t>FSS Maximum Daily Storage Quantity (MDSQ and SST Transportation Demand</w:t>
            </w:r>
          </w:p>
          <w:p>
            <w:pPr>
              <w:pStyle w:val="Normal"/>
              <w:rPr>
                <w:b/>
                <w:sz w:val="22"/>
              </w:rPr>
            </w:pPr>
            <w:r>
              <w:rPr>
                <w:b/>
                <w:sz w:val="22"/>
              </w:rPr>
              <w:t>(Oct.-Mar.)</w:t>
            </w:r>
          </w:p>
        </w:tc>
        <w:tc>
          <w:tcPr>
            <w:tcW w:w="2880" w:type="dxa"/>
            <w:tcBorders>
              <w:top w:val="single" w:sz="4" w:space="0" w:color="000000"/>
              <w:start w:val="single" w:sz="4" w:space="0" w:color="000000"/>
              <w:bottom w:val="single" w:sz="4" w:space="0" w:color="000000"/>
              <w:end w:val="single" w:sz="4" w:space="0" w:color="000000"/>
            </w:tcBorders>
            <w:shd w:fill="D8D8D8" w:val="clear"/>
          </w:tcPr>
          <w:p>
            <w:pPr>
              <w:pStyle w:val="Heading1"/>
              <w:tabs>
                <w:tab w:val="clear" w:pos="720"/>
              </w:tabs>
              <w:spacing w:before="0" w:after="240"/>
              <w:ind w:hanging="0" w:start="0" w:end="0"/>
              <w:jc w:val="start"/>
              <w:rPr>
                <w:b/>
                <w:sz w:val="22"/>
              </w:rPr>
            </w:pPr>
            <w:r>
              <w:rPr>
                <w:b/>
                <w:sz w:val="22"/>
              </w:rPr>
              <w:t>SST Primary Delivery Point Name/Meter Number or New Delivery Points</w:t>
            </w:r>
          </w:p>
        </w:tc>
        <w:tc>
          <w:tcPr>
            <w:tcW w:w="1350" w:type="dxa"/>
            <w:tcBorders>
              <w:top w:val="single" w:sz="4" w:space="0" w:color="000000"/>
              <w:start w:val="single" w:sz="4" w:space="0" w:color="000000"/>
              <w:bottom w:val="single" w:sz="4" w:space="0" w:color="000000"/>
              <w:end w:val="single" w:sz="4" w:space="0" w:color="000000"/>
            </w:tcBorders>
            <w:shd w:fill="D8D8D8" w:val="clear"/>
          </w:tcPr>
          <w:p>
            <w:pPr>
              <w:pStyle w:val="Normal"/>
              <w:rPr>
                <w:b/>
                <w:sz w:val="22"/>
              </w:rPr>
            </w:pPr>
            <w:r>
              <w:rPr>
                <w:b/>
                <w:sz w:val="22"/>
              </w:rPr>
              <w:t>Desired Quantity at Each Delivery Point (Please also indicate desired pressure if a new point.)</w:t>
            </w:r>
          </w:p>
        </w:tc>
        <w:tc>
          <w:tcPr>
            <w:tcW w:w="1350" w:type="dxa"/>
            <w:tcBorders>
              <w:top w:val="single" w:sz="4" w:space="0" w:color="000000"/>
              <w:start w:val="single" w:sz="4" w:space="0" w:color="000000"/>
              <w:bottom w:val="single" w:sz="4" w:space="0" w:color="000000"/>
              <w:end w:val="single" w:sz="4" w:space="0" w:color="000000"/>
            </w:tcBorders>
            <w:shd w:fill="D8D8D8" w:val="clear"/>
          </w:tcPr>
          <w:p>
            <w:pPr>
              <w:pStyle w:val="Normal"/>
              <w:rPr>
                <w:b/>
                <w:sz w:val="22"/>
              </w:rPr>
            </w:pPr>
            <w:r>
              <w:rPr>
                <w:b/>
                <w:sz w:val="22"/>
              </w:rPr>
              <w:t>Term of FSS and SST Service Agreements (minimum of 10 years)</w:t>
            </w:r>
          </w:p>
        </w:tc>
      </w:tr>
      <w:tr>
        <w:trPr/>
        <w:tc>
          <w:tcPr>
            <w:tcW w:w="900" w:type="dxa"/>
            <w:tcBorders>
              <w:top w:val="single" w:sz="4" w:space="0" w:color="000000"/>
              <w:start w:val="single" w:sz="4" w:space="0" w:color="000000"/>
              <w:bottom w:val="single" w:sz="4" w:space="0" w:color="000000"/>
              <w:end w:val="single" w:sz="4" w:space="0" w:color="000000"/>
            </w:tcBorders>
            <w:shd w:fill="D8D8D8" w:val="clear"/>
          </w:tcPr>
          <w:p>
            <w:pPr>
              <w:pStyle w:val="Normal"/>
              <w:jc w:val="center"/>
              <w:rPr>
                <w:b/>
              </w:rPr>
            </w:pPr>
            <w:r>
              <w:rPr>
                <w:b/>
              </w:rPr>
              <w:t>2002</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p>
            <w:pPr>
              <w:pStyle w:val="Normal"/>
              <w:rPr/>
            </w:pPr>
            <w:r>
              <w:rPr/>
            </w:r>
          </w:p>
          <w:p>
            <w:pPr>
              <w:pStyle w:val="Normal"/>
              <w:rPr/>
            </w:pPr>
            <w:r>
              <w:rPr/>
            </w:r>
          </w:p>
          <w:p>
            <w:pPr>
              <w:pStyle w:val="Normal"/>
              <w:rPr/>
            </w:pPr>
            <w:r>
              <w:rPr/>
            </w:r>
          </w:p>
          <w:p>
            <w:pPr>
              <w:pStyle w:val="Normal"/>
              <w:rPr/>
            </w:pPr>
            <w:r>
              <w:rPr/>
            </w:r>
          </w:p>
          <w:p>
            <w:pPr>
              <w:pStyle w:val="Normal"/>
              <w:rPr/>
            </w:pPr>
            <w:r>
              <w:rPr/>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900" w:type="dxa"/>
            <w:tcBorders>
              <w:top w:val="single" w:sz="4" w:space="0" w:color="000000"/>
              <w:start w:val="single" w:sz="4" w:space="0" w:color="000000"/>
              <w:bottom w:val="single" w:sz="4" w:space="0" w:color="000000"/>
              <w:end w:val="single" w:sz="4" w:space="0" w:color="000000"/>
            </w:tcBorders>
            <w:shd w:fill="D8D8D8" w:val="clear"/>
          </w:tcPr>
          <w:p>
            <w:pPr>
              <w:pStyle w:val="Normal"/>
              <w:jc w:val="center"/>
              <w:rPr>
                <w:b/>
              </w:rPr>
            </w:pPr>
            <w:r>
              <w:rPr>
                <w:b/>
              </w:rPr>
              <w:t>2003</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p>
            <w:pPr>
              <w:pStyle w:val="Normal"/>
              <w:rPr/>
            </w:pPr>
            <w:r>
              <w:rPr/>
            </w:r>
          </w:p>
          <w:p>
            <w:pPr>
              <w:pStyle w:val="Normal"/>
              <w:rPr/>
            </w:pPr>
            <w:r>
              <w:rPr/>
            </w:r>
          </w:p>
          <w:p>
            <w:pPr>
              <w:pStyle w:val="Normal"/>
              <w:rPr/>
            </w:pPr>
            <w:r>
              <w:rPr/>
            </w:r>
          </w:p>
          <w:p>
            <w:pPr>
              <w:pStyle w:val="Normal"/>
              <w:rPr/>
            </w:pPr>
            <w:r>
              <w:rPr/>
            </w:r>
          </w:p>
          <w:p>
            <w:pPr>
              <w:pStyle w:val="Normal"/>
              <w:rPr/>
            </w:pPr>
            <w:r>
              <w:rPr/>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900" w:type="dxa"/>
            <w:tcBorders>
              <w:top w:val="single" w:sz="4" w:space="0" w:color="000000"/>
              <w:start w:val="single" w:sz="4" w:space="0" w:color="000000"/>
              <w:end w:val="single" w:sz="4" w:space="0" w:color="000000"/>
            </w:tcBorders>
            <w:shd w:fill="D8D8D8" w:val="clear"/>
          </w:tcPr>
          <w:p>
            <w:pPr>
              <w:pStyle w:val="Normal"/>
              <w:jc w:val="center"/>
              <w:rPr>
                <w:b/>
              </w:rPr>
            </w:pPr>
            <w:r>
              <w:rPr>
                <w:b/>
              </w:rPr>
              <w:t>2004</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p>
            <w:pPr>
              <w:pStyle w:val="Normal"/>
              <w:rPr/>
            </w:pPr>
            <w:r>
              <w:rPr/>
            </w:r>
          </w:p>
          <w:p>
            <w:pPr>
              <w:pStyle w:val="Normal"/>
              <w:rPr/>
            </w:pPr>
            <w:r>
              <w:rPr/>
            </w:r>
          </w:p>
          <w:p>
            <w:pPr>
              <w:pStyle w:val="Normal"/>
              <w:rPr/>
            </w:pPr>
            <w:r>
              <w:rPr/>
            </w:r>
          </w:p>
          <w:p>
            <w:pPr>
              <w:pStyle w:val="Normal"/>
              <w:rPr/>
            </w:pPr>
            <w:r>
              <w:rPr/>
            </w:r>
          </w:p>
          <w:p>
            <w:pPr>
              <w:pStyle w:val="Normal"/>
              <w:rPr/>
            </w:pPr>
            <w:r>
              <w:rPr/>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80" w:type="dxa"/>
            <w:tcBorders>
              <w:top w:val="single" w:sz="4" w:space="0" w:color="000000"/>
              <w:start w:val="single" w:sz="4" w:space="0" w:color="000000"/>
              <w:end w:val="single" w:sz="4" w:space="0" w:color="000000"/>
            </w:tcBorders>
          </w:tcPr>
          <w:p>
            <w:pPr>
              <w:pStyle w:val="Normal"/>
              <w:snapToGrid w:val="false"/>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50" w:type="dxa"/>
            <w:tcBorders>
              <w:top w:val="single" w:sz="4" w:space="0" w:color="000000"/>
              <w:start w:val="single" w:sz="4" w:space="0" w:color="000000"/>
              <w:end w:val="single" w:sz="4" w:space="0" w:color="000000"/>
            </w:tcBorders>
          </w:tcPr>
          <w:p>
            <w:pPr>
              <w:pStyle w:val="Normal"/>
              <w:snapToGrid w:val="false"/>
              <w:rPr/>
            </w:pPr>
            <w:r>
              <w:rPr/>
            </w:r>
          </w:p>
        </w:tc>
      </w:tr>
      <w:tr>
        <w:trPr/>
        <w:tc>
          <w:tcPr>
            <w:tcW w:w="900" w:type="dxa"/>
            <w:tcBorders>
              <w:top w:val="single" w:sz="4" w:space="0" w:color="000000"/>
              <w:start w:val="single" w:sz="4" w:space="0" w:color="000000"/>
              <w:bottom w:val="single" w:sz="4" w:space="0" w:color="000000"/>
              <w:end w:val="single" w:sz="4" w:space="0" w:color="000000"/>
            </w:tcBorders>
            <w:shd w:fill="D8D8D8" w:val="clear"/>
          </w:tcPr>
          <w:p>
            <w:pPr>
              <w:pStyle w:val="Normal"/>
              <w:snapToGrid w:val="false"/>
              <w:jc w:val="center"/>
              <w:rPr>
                <w:b/>
              </w:rPr>
            </w:pPr>
            <w:r>
              <w:rPr>
                <w:b/>
              </w:rPr>
            </w:r>
          </w:p>
          <w:p>
            <w:pPr>
              <w:pStyle w:val="Normal"/>
              <w:jc w:val="center"/>
              <w:rPr>
                <w:b/>
              </w:rPr>
            </w:pPr>
            <w:r>
              <w:rPr>
                <w:b/>
              </w:rPr>
              <w:t>Totals</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p>
            <w:pPr>
              <w:pStyle w:val="Normal"/>
              <w:rPr/>
            </w:pPr>
            <w:r>
              <w:rPr/>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80" w:type="dxa"/>
            <w:tcBorders>
              <w:top w:val="single" w:sz="4" w:space="0" w:color="000000"/>
              <w:start w:val="single" w:sz="4" w:space="0" w:color="000000"/>
              <w:bottom w:val="single" w:sz="4" w:space="0" w:color="000000"/>
              <w:end w:val="single" w:sz="4" w:space="0" w:color="000000"/>
            </w:tcBorders>
            <w:shd w:fill="D8D8D8" w:val="clear"/>
          </w:tcPr>
          <w:p>
            <w:pPr>
              <w:pStyle w:val="Normal"/>
              <w:snapToGrid w:val="false"/>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50" w:type="dxa"/>
            <w:tcBorders>
              <w:top w:val="single" w:sz="4" w:space="0" w:color="000000"/>
              <w:start w:val="single" w:sz="4" w:space="0" w:color="000000"/>
              <w:bottom w:val="single" w:sz="4" w:space="0" w:color="000000"/>
              <w:end w:val="single" w:sz="4" w:space="0" w:color="000000"/>
            </w:tcBorders>
            <w:shd w:fill="D8D8D8" w:val="clear"/>
          </w:tcPr>
          <w:p>
            <w:pPr>
              <w:pStyle w:val="Normal"/>
              <w:snapToGrid w:val="false"/>
              <w:rPr/>
            </w:pPr>
            <w:r>
              <w:rPr/>
            </w:r>
          </w:p>
        </w:tc>
      </w:tr>
    </w:tbl>
    <w:p>
      <w:pPr>
        <w:pStyle w:val="Normal"/>
        <w:rPr/>
      </w:pPr>
      <w:r>
        <w:rPr/>
      </w:r>
    </w:p>
    <w:p>
      <w:pPr>
        <w:pStyle w:val="Normal"/>
        <w:rPr/>
      </w:pPr>
      <w:r>
        <w:rPr/>
      </w:r>
    </w:p>
    <w:p>
      <w:pPr>
        <w:pStyle w:val="Normal"/>
        <w:widowControl/>
        <w:jc w:val="center"/>
        <w:rPr>
          <w:b/>
          <w:u w:val="single"/>
        </w:rPr>
      </w:pPr>
      <w:r>
        <w:rPr>
          <w:b/>
        </w:rPr>
        <w:t>OPEN SEASON REQUEST FORM</w:t>
      </w:r>
    </w:p>
    <w:p>
      <w:pPr>
        <w:pStyle w:val="Normal"/>
        <w:widowControl/>
        <w:jc w:val="center"/>
        <w:rPr>
          <w:b/>
        </w:rPr>
      </w:pPr>
      <w:r>
        <w:rPr>
          <w:b/>
        </w:rPr>
        <w:t>HOMESTEAD EXPANSION</w:t>
      </w:r>
    </w:p>
    <w:p>
      <w:pPr>
        <w:pStyle w:val="Normal"/>
        <w:widowControl/>
        <w:jc w:val="center"/>
        <w:rPr>
          <w:b/>
        </w:rPr>
      </w:pPr>
      <w:r>
        <w:rPr>
          <w:b/>
        </w:rPr>
        <w:t>Page 3 of 3</w:t>
      </w:r>
    </w:p>
    <w:p>
      <w:pPr>
        <w:pStyle w:val="Normal"/>
        <w:rPr>
          <w:b/>
        </w:rPr>
      </w:pPr>
      <w:r>
        <w:rPr>
          <w:b/>
        </w:rPr>
      </w:r>
    </w:p>
    <w:p>
      <w:pPr>
        <w:pStyle w:val="Normal"/>
        <w:rPr>
          <w:b/>
        </w:rPr>
      </w:pPr>
      <w:r>
        <w:rPr>
          <w:b/>
        </w:rPr>
      </w:r>
    </w:p>
    <w:p>
      <w:pPr>
        <w:pStyle w:val="Normal"/>
        <w:rPr/>
      </w:pPr>
      <w:r>
        <w:rPr>
          <w:b/>
        </w:rPr>
        <w:t xml:space="preserve">NOMINATION FORM </w:t>
      </w:r>
      <w:r>
        <w:rPr/>
        <w:t xml:space="preserve">Customer Name:___________________________________________ </w:t>
      </w:r>
    </w:p>
    <w:p>
      <w:pPr>
        <w:pStyle w:val="Normal"/>
        <w:rPr/>
      </w:pPr>
      <w:r>
        <w:rPr/>
      </w:r>
    </w:p>
    <w:p>
      <w:pPr>
        <w:pStyle w:val="Normal"/>
        <w:rPr/>
      </w:pPr>
      <w:r>
        <w:rPr/>
      </w:r>
    </w:p>
    <w:p>
      <w:pPr>
        <w:pStyle w:val="Normal"/>
        <w:tabs>
          <w:tab w:val="clear" w:pos="720"/>
          <w:tab w:val="left" w:pos="2160" w:leader="none"/>
        </w:tabs>
        <w:ind w:hanging="1440" w:start="1440" w:end="0"/>
        <w:rPr/>
      </w:pPr>
      <w:r>
        <w:rPr>
          <w:b/>
        </w:rPr>
        <w:t>Please note:</w:t>
        <w:tab/>
      </w:r>
      <w:r>
        <w:rPr/>
        <w:t>(1)</w:t>
        <w:tab/>
        <w:t>Please state the “desired” delivery point quantity.  Columbia Gas</w:t>
      </w:r>
    </w:p>
    <w:p>
      <w:pPr>
        <w:pStyle w:val="Normal"/>
        <w:ind w:start="2160" w:end="0"/>
        <w:rPr/>
      </w:pPr>
      <w:r>
        <w:rPr/>
        <w:t xml:space="preserve">Transmission will calculate retainage at the applicable retainage factors. </w:t>
      </w:r>
    </w:p>
    <w:p>
      <w:pPr>
        <w:pStyle w:val="Normal"/>
        <w:rPr/>
      </w:pPr>
      <w:r>
        <w:rPr/>
      </w:r>
    </w:p>
    <w:p>
      <w:pPr>
        <w:pStyle w:val="Normal"/>
        <w:numPr>
          <w:ilvl w:val="0"/>
          <w:numId w:val="2"/>
        </w:numPr>
        <w:rPr/>
      </w:pPr>
      <w:r>
        <w:rPr/>
        <w:t>For each year, state the incremental request for that year and not a cumulative number.</w:t>
      </w:r>
    </w:p>
    <w:p>
      <w:pPr>
        <w:pStyle w:val="Normal"/>
        <w:rPr/>
      </w:pPr>
      <w:r>
        <w:rPr/>
      </w:r>
    </w:p>
    <w:tbl>
      <w:tblPr>
        <w:tblW w:w="9270" w:type="dxa"/>
        <w:jc w:val="start"/>
        <w:tblInd w:w="108" w:type="dxa"/>
        <w:tblLayout w:type="fixed"/>
        <w:tblCellMar>
          <w:top w:w="0" w:type="dxa"/>
          <w:start w:w="108" w:type="dxa"/>
          <w:bottom w:w="0" w:type="dxa"/>
          <w:end w:w="108" w:type="dxa"/>
        </w:tblCellMar>
      </w:tblPr>
      <w:tblGrid>
        <w:gridCol w:w="900"/>
        <w:gridCol w:w="2520"/>
        <w:gridCol w:w="1080"/>
        <w:gridCol w:w="2520"/>
        <w:gridCol w:w="1080"/>
        <w:gridCol w:w="1170"/>
      </w:tblGrid>
      <w:tr>
        <w:trPr/>
        <w:tc>
          <w:tcPr>
            <w:tcW w:w="9270" w:type="dxa"/>
            <w:gridSpan w:val="6"/>
            <w:tcBorders>
              <w:top w:val="single" w:sz="4" w:space="0" w:color="000000"/>
              <w:start w:val="single" w:sz="4" w:space="0" w:color="000000"/>
              <w:end w:val="single" w:sz="4" w:space="0" w:color="000000"/>
            </w:tcBorders>
            <w:shd w:fill="D8D8D8" w:val="clear"/>
          </w:tcPr>
          <w:p>
            <w:pPr>
              <w:pStyle w:val="TxBrt1"/>
              <w:spacing w:lineRule="auto" w:line="240"/>
              <w:rPr>
                <w:b/>
              </w:rPr>
            </w:pPr>
            <w:r>
              <w:rPr>
                <w:b/>
              </w:rPr>
              <w:t xml:space="preserve">REQUESTED FIRM TRANSPORTATION SERVICE (FTS) LEVELS (in dekatherms (Dth) beginning November 1)  </w:t>
            </w:r>
          </w:p>
        </w:tc>
      </w:tr>
      <w:tr>
        <w:trPr/>
        <w:tc>
          <w:tcPr>
            <w:tcW w:w="900" w:type="dxa"/>
            <w:tcBorders>
              <w:top w:val="single" w:sz="4" w:space="0" w:color="000000"/>
              <w:start w:val="single" w:sz="4" w:space="0" w:color="000000"/>
              <w:end w:val="single" w:sz="4" w:space="0" w:color="000000"/>
            </w:tcBorders>
            <w:shd w:fill="D8D8D8" w:val="clear"/>
          </w:tcPr>
          <w:p>
            <w:pPr>
              <w:pStyle w:val="Normal"/>
              <w:snapToGrid w:val="false"/>
              <w:rPr>
                <w:b/>
              </w:rPr>
            </w:pPr>
            <w:r>
              <w:rPr>
                <w:b/>
              </w:rPr>
            </w:r>
          </w:p>
        </w:tc>
        <w:tc>
          <w:tcPr>
            <w:tcW w:w="2520" w:type="dxa"/>
            <w:tcBorders>
              <w:top w:val="single" w:sz="4" w:space="0" w:color="000000"/>
              <w:start w:val="single" w:sz="4" w:space="0" w:color="000000"/>
              <w:bottom w:val="single" w:sz="4" w:space="0" w:color="000000"/>
              <w:end w:val="single" w:sz="4" w:space="0" w:color="000000"/>
            </w:tcBorders>
            <w:shd w:fill="D8D8D8" w:val="clear"/>
          </w:tcPr>
          <w:p>
            <w:pPr>
              <w:pStyle w:val="Normal"/>
              <w:rPr>
                <w:b/>
                <w:sz w:val="22"/>
              </w:rPr>
            </w:pPr>
            <w:r>
              <w:rPr>
                <w:b/>
                <w:sz w:val="22"/>
              </w:rPr>
              <w:t>Primary Receipt Point</w:t>
            </w:r>
          </w:p>
          <w:p>
            <w:pPr>
              <w:pStyle w:val="Normal"/>
              <w:rPr>
                <w:b/>
                <w:sz w:val="22"/>
              </w:rPr>
            </w:pPr>
            <w:r>
              <w:rPr>
                <w:b/>
                <w:sz w:val="22"/>
              </w:rPr>
              <w:t>Name/Meter Number or New Receipt Point</w:t>
            </w:r>
          </w:p>
        </w:tc>
        <w:tc>
          <w:tcPr>
            <w:tcW w:w="1080" w:type="dxa"/>
            <w:tcBorders>
              <w:top w:val="single" w:sz="4" w:space="0" w:color="000000"/>
              <w:start w:val="single" w:sz="4" w:space="0" w:color="000000"/>
              <w:bottom w:val="single" w:sz="4" w:space="0" w:color="000000"/>
              <w:end w:val="single" w:sz="4" w:space="0" w:color="000000"/>
            </w:tcBorders>
            <w:shd w:fill="D8D8D8" w:val="clear"/>
          </w:tcPr>
          <w:p>
            <w:pPr>
              <w:pStyle w:val="Normal"/>
              <w:rPr>
                <w:b/>
                <w:sz w:val="22"/>
              </w:rPr>
            </w:pPr>
            <w:r>
              <w:rPr>
                <w:b/>
                <w:sz w:val="22"/>
              </w:rPr>
              <w:t>Desired Quantity at Each Receipt Point</w:t>
            </w:r>
          </w:p>
        </w:tc>
        <w:tc>
          <w:tcPr>
            <w:tcW w:w="2520" w:type="dxa"/>
            <w:tcBorders>
              <w:top w:val="single" w:sz="4" w:space="0" w:color="000000"/>
              <w:start w:val="single" w:sz="4" w:space="0" w:color="000000"/>
              <w:bottom w:val="single" w:sz="4" w:space="0" w:color="000000"/>
              <w:end w:val="single" w:sz="4" w:space="0" w:color="000000"/>
            </w:tcBorders>
            <w:shd w:fill="D8D8D8" w:val="clear"/>
          </w:tcPr>
          <w:p>
            <w:pPr>
              <w:pStyle w:val="Heading1"/>
              <w:tabs>
                <w:tab w:val="clear" w:pos="720"/>
              </w:tabs>
              <w:spacing w:before="0" w:after="240"/>
              <w:ind w:hanging="0" w:start="0" w:end="0"/>
              <w:jc w:val="start"/>
              <w:rPr>
                <w:sz w:val="22"/>
              </w:rPr>
            </w:pPr>
            <w:r>
              <w:rPr>
                <w:b/>
                <w:sz w:val="22"/>
              </w:rPr>
              <w:t>Primary Delivery Point Name/Meter Number, or New Delivery Points</w:t>
            </w:r>
          </w:p>
        </w:tc>
        <w:tc>
          <w:tcPr>
            <w:tcW w:w="1080" w:type="dxa"/>
            <w:tcBorders>
              <w:top w:val="single" w:sz="4" w:space="0" w:color="000000"/>
              <w:start w:val="single" w:sz="4" w:space="0" w:color="000000"/>
              <w:bottom w:val="single" w:sz="4" w:space="0" w:color="000000"/>
              <w:end w:val="single" w:sz="4" w:space="0" w:color="000000"/>
            </w:tcBorders>
            <w:shd w:fill="D8D8D8" w:val="clear"/>
          </w:tcPr>
          <w:p>
            <w:pPr>
              <w:pStyle w:val="Normal"/>
              <w:rPr>
                <w:b/>
                <w:sz w:val="22"/>
              </w:rPr>
            </w:pPr>
            <w:r>
              <w:rPr>
                <w:b/>
                <w:sz w:val="22"/>
              </w:rPr>
              <w:t>Desired Quantity at Each Delivery Point (Please also indicate desired pressure if a new point.)</w:t>
            </w:r>
          </w:p>
        </w:tc>
        <w:tc>
          <w:tcPr>
            <w:tcW w:w="1170" w:type="dxa"/>
            <w:tcBorders>
              <w:top w:val="single" w:sz="4" w:space="0" w:color="000000"/>
              <w:start w:val="single" w:sz="4" w:space="0" w:color="000000"/>
              <w:bottom w:val="single" w:sz="4" w:space="0" w:color="000000"/>
              <w:end w:val="single" w:sz="4" w:space="0" w:color="000000"/>
            </w:tcBorders>
            <w:shd w:fill="D8D8D8" w:val="clear"/>
          </w:tcPr>
          <w:p>
            <w:pPr>
              <w:pStyle w:val="Normal"/>
              <w:rPr>
                <w:b/>
                <w:sz w:val="20"/>
              </w:rPr>
            </w:pPr>
            <w:r>
              <w:rPr>
                <w:b/>
                <w:sz w:val="20"/>
              </w:rPr>
              <w:t>Term of FTS Service Agreement (minimum of 10 years)</w:t>
            </w:r>
          </w:p>
        </w:tc>
      </w:tr>
      <w:tr>
        <w:trPr/>
        <w:tc>
          <w:tcPr>
            <w:tcW w:w="900" w:type="dxa"/>
            <w:tcBorders>
              <w:top w:val="single" w:sz="4" w:space="0" w:color="000000"/>
              <w:start w:val="single" w:sz="4" w:space="0" w:color="000000"/>
              <w:bottom w:val="single" w:sz="4" w:space="0" w:color="000000"/>
              <w:end w:val="single" w:sz="4" w:space="0" w:color="000000"/>
            </w:tcBorders>
            <w:shd w:fill="D8D8D8" w:val="clear"/>
          </w:tcPr>
          <w:p>
            <w:pPr>
              <w:pStyle w:val="Normal"/>
              <w:jc w:val="center"/>
              <w:rPr>
                <w:b/>
                <w:sz w:val="22"/>
              </w:rPr>
            </w:pPr>
            <w:r>
              <w:rPr>
                <w:b/>
                <w:sz w:val="22"/>
              </w:rPr>
              <w:t>2002</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sz w:val="22"/>
              </w:rPr>
            </w:pPr>
            <w:r>
              <w:rPr>
                <w:b/>
                <w:sz w:val="22"/>
              </w:rPr>
            </w:r>
          </w:p>
          <w:p>
            <w:pPr>
              <w:pStyle w:val="Normal"/>
              <w:rPr/>
            </w:pPr>
            <w:r>
              <w:rPr/>
            </w:r>
          </w:p>
          <w:p>
            <w:pPr>
              <w:pStyle w:val="Normal"/>
              <w:rPr/>
            </w:pPr>
            <w:r>
              <w:rPr/>
            </w:r>
          </w:p>
          <w:p>
            <w:pPr>
              <w:pStyle w:val="Normal"/>
              <w:rPr/>
            </w:pPr>
            <w:r>
              <w:rPr/>
            </w:r>
          </w:p>
          <w:p>
            <w:pPr>
              <w:pStyle w:val="Normal"/>
              <w:rPr/>
            </w:pPr>
            <w:r>
              <w:rPr/>
            </w:r>
          </w:p>
          <w:p>
            <w:pPr>
              <w:pStyle w:val="Normal"/>
              <w:rPr/>
            </w:pPr>
            <w:r>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900" w:type="dxa"/>
            <w:tcBorders>
              <w:top w:val="single" w:sz="4" w:space="0" w:color="000000"/>
              <w:start w:val="single" w:sz="4" w:space="0" w:color="000000"/>
              <w:bottom w:val="single" w:sz="4" w:space="0" w:color="000000"/>
              <w:end w:val="single" w:sz="4" w:space="0" w:color="000000"/>
            </w:tcBorders>
            <w:shd w:fill="D8D8D8" w:val="clear"/>
          </w:tcPr>
          <w:p>
            <w:pPr>
              <w:pStyle w:val="Normal"/>
              <w:jc w:val="center"/>
              <w:rPr>
                <w:b/>
                <w:sz w:val="22"/>
              </w:rPr>
            </w:pPr>
            <w:r>
              <w:rPr>
                <w:b/>
                <w:sz w:val="22"/>
              </w:rPr>
              <w:t>2003</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sz w:val="22"/>
              </w:rPr>
            </w:pPr>
            <w:r>
              <w:rPr>
                <w:b/>
                <w:sz w:val="22"/>
              </w:rPr>
            </w:r>
          </w:p>
          <w:p>
            <w:pPr>
              <w:pStyle w:val="Normal"/>
              <w:rPr/>
            </w:pPr>
            <w:r>
              <w:rPr/>
            </w:r>
          </w:p>
          <w:p>
            <w:pPr>
              <w:pStyle w:val="Normal"/>
              <w:rPr/>
            </w:pPr>
            <w:r>
              <w:rPr/>
            </w:r>
          </w:p>
          <w:p>
            <w:pPr>
              <w:pStyle w:val="Normal"/>
              <w:rPr/>
            </w:pPr>
            <w:r>
              <w:rPr/>
            </w:r>
          </w:p>
          <w:p>
            <w:pPr>
              <w:pStyle w:val="Normal"/>
              <w:rPr/>
            </w:pPr>
            <w:r>
              <w:rPr/>
            </w:r>
          </w:p>
          <w:p>
            <w:pPr>
              <w:pStyle w:val="Normal"/>
              <w:rPr/>
            </w:pPr>
            <w:r>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900" w:type="dxa"/>
            <w:tcBorders>
              <w:top w:val="single" w:sz="4" w:space="0" w:color="000000"/>
              <w:start w:val="single" w:sz="4" w:space="0" w:color="000000"/>
              <w:bottom w:val="single" w:sz="4" w:space="0" w:color="000000"/>
              <w:end w:val="single" w:sz="4" w:space="0" w:color="000000"/>
            </w:tcBorders>
            <w:shd w:fill="D8D8D8" w:val="clear"/>
          </w:tcPr>
          <w:p>
            <w:pPr>
              <w:pStyle w:val="Normal"/>
              <w:jc w:val="center"/>
              <w:rPr>
                <w:b/>
                <w:sz w:val="22"/>
              </w:rPr>
            </w:pPr>
            <w:r>
              <w:rPr>
                <w:b/>
                <w:sz w:val="22"/>
              </w:rPr>
              <w:t>2004</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sz w:val="22"/>
              </w:rPr>
            </w:pPr>
            <w:r>
              <w:rPr>
                <w:b/>
                <w:sz w:val="22"/>
              </w:rPr>
            </w:r>
          </w:p>
          <w:p>
            <w:pPr>
              <w:pStyle w:val="Normal"/>
              <w:rPr/>
            </w:pPr>
            <w:r>
              <w:rPr/>
            </w:r>
          </w:p>
          <w:p>
            <w:pPr>
              <w:pStyle w:val="Normal"/>
              <w:rPr/>
            </w:pPr>
            <w:r>
              <w:rPr/>
            </w:r>
          </w:p>
          <w:p>
            <w:pPr>
              <w:pStyle w:val="Normal"/>
              <w:rPr/>
            </w:pPr>
            <w:r>
              <w:rPr/>
            </w:r>
          </w:p>
          <w:p>
            <w:pPr>
              <w:pStyle w:val="Normal"/>
              <w:rPr/>
            </w:pPr>
            <w:r>
              <w:rPr/>
            </w:r>
          </w:p>
          <w:p>
            <w:pPr>
              <w:pStyle w:val="Normal"/>
              <w:rPr/>
            </w:pPr>
            <w:r>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520" w:type="dxa"/>
            <w:tcBorders>
              <w:top w:val="single" w:sz="4" w:space="0" w:color="000000"/>
              <w:start w:val="single" w:sz="4" w:space="0" w:color="000000"/>
              <w:end w:val="single" w:sz="4" w:space="0" w:color="000000"/>
            </w:tcBorders>
          </w:tcPr>
          <w:p>
            <w:pPr>
              <w:pStyle w:val="Normal"/>
              <w:snapToGrid w:val="false"/>
              <w:rPr/>
            </w:pPr>
            <w:r>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end w:val="single" w:sz="4" w:space="0" w:color="000000"/>
            </w:tcBorders>
          </w:tcPr>
          <w:p>
            <w:pPr>
              <w:pStyle w:val="Normal"/>
              <w:snapToGrid w:val="false"/>
              <w:rPr/>
            </w:pPr>
            <w:r>
              <w:rPr/>
            </w:r>
          </w:p>
        </w:tc>
      </w:tr>
      <w:tr>
        <w:trPr/>
        <w:tc>
          <w:tcPr>
            <w:tcW w:w="900" w:type="dxa"/>
            <w:tcBorders>
              <w:top w:val="single" w:sz="4" w:space="0" w:color="000000"/>
              <w:start w:val="single" w:sz="4" w:space="0" w:color="000000"/>
              <w:bottom w:val="single" w:sz="4" w:space="0" w:color="000000"/>
              <w:end w:val="single" w:sz="4" w:space="0" w:color="000000"/>
            </w:tcBorders>
            <w:shd w:fill="D8D8D8" w:val="clear"/>
          </w:tcPr>
          <w:p>
            <w:pPr>
              <w:pStyle w:val="Normal"/>
              <w:snapToGrid w:val="false"/>
              <w:jc w:val="center"/>
              <w:rPr>
                <w:b/>
                <w:sz w:val="22"/>
              </w:rPr>
            </w:pPr>
            <w:r>
              <w:rPr>
                <w:b/>
                <w:sz w:val="22"/>
              </w:rPr>
            </w:r>
          </w:p>
          <w:p>
            <w:pPr>
              <w:pStyle w:val="Normal"/>
              <w:jc w:val="center"/>
              <w:rPr>
                <w:b/>
                <w:sz w:val="22"/>
              </w:rPr>
            </w:pPr>
            <w:r>
              <w:rPr>
                <w:b/>
                <w:sz w:val="22"/>
              </w:rPr>
              <w:t>Totals</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sz w:val="22"/>
              </w:rPr>
            </w:pPr>
            <w:r>
              <w:rPr>
                <w:b/>
                <w:sz w:val="22"/>
              </w:rPr>
            </w:r>
          </w:p>
          <w:p>
            <w:pPr>
              <w:pStyle w:val="Normal"/>
              <w:rPr/>
            </w:pPr>
            <w:r>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520" w:type="dxa"/>
            <w:tcBorders>
              <w:top w:val="single" w:sz="4" w:space="0" w:color="000000"/>
              <w:start w:val="single" w:sz="4" w:space="0" w:color="000000"/>
              <w:bottom w:val="single" w:sz="4" w:space="0" w:color="000000"/>
              <w:end w:val="single" w:sz="4" w:space="0" w:color="000000"/>
            </w:tcBorders>
            <w:shd w:fill="D8D8D8" w:val="clear"/>
          </w:tcPr>
          <w:p>
            <w:pPr>
              <w:pStyle w:val="Normal"/>
              <w:snapToGrid w:val="false"/>
              <w:rPr/>
            </w:pPr>
            <w:r>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end w:val="single" w:sz="4" w:space="0" w:color="000000"/>
            </w:tcBorders>
            <w:shd w:fill="D8D8D8" w:val="clear"/>
          </w:tcPr>
          <w:p>
            <w:pPr>
              <w:pStyle w:val="Normal"/>
              <w:snapToGrid w:val="false"/>
              <w:rPr/>
            </w:pPr>
            <w:r>
              <w:rPr/>
            </w:r>
          </w:p>
        </w:tc>
      </w:tr>
    </w:tbl>
    <w:p>
      <w:pPr>
        <w:pStyle w:val="BodyText"/>
        <w:widowControl/>
        <w:tabs>
          <w:tab w:val="clear" w:pos="720"/>
          <w:tab w:val="left" w:pos="5850" w:leader="none"/>
        </w:tabs>
        <w:rPr/>
      </w:pPr>
      <w:r>
        <w:rPr/>
      </w:r>
    </w:p>
    <w:sectPr>
      <w:headerReference w:type="default" r:id="rId3"/>
      <w:headerReference w:type="first" r:id="rId4"/>
      <w:footerReference w:type="default" r:id="rId5"/>
      <w:footerReference w:type="first" r:id="rId6"/>
      <w:type w:val="nextPage"/>
      <w:pgSz w:w="12240" w:h="15840"/>
      <w:pgMar w:left="1440" w:right="1440"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7165"/>
              <wp:effectExtent l="0" t="0" r="0" b="0"/>
              <wp:wrapSquare wrapText="bothSides"/>
              <wp:docPr id="1" name="Frame2"/>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4</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4</w:t>
                    </w:r>
                    <w:r>
                      <w:rPr>
                        <w:rStyle w:val="PageNumber"/>
                        <w:sz w:val="24"/>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36"/>
      </w:rPr>
    </w:pPr>
    <w:r>
      <w:rPr>
        <w:b/>
        <w:sz w:val="36"/>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2160"/>
        </w:tabs>
        <w:ind w:start="2160" w:hanging="720"/>
      </w:pPr>
      <w:r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left" w:pos="720" w:leader="none"/>
      </w:tabs>
      <w:spacing w:before="0" w:after="240"/>
      <w:ind w:hanging="720" w:start="720" w:end="0"/>
      <w:jc w:val="both"/>
      <w:outlineLvl w:val="0"/>
    </w:pPr>
    <w:rPr>
      <w:kern w:val="2"/>
    </w:rPr>
  </w:style>
  <w:style w:type="paragraph" w:styleId="Heading2">
    <w:name w:val="heading 2"/>
    <w:basedOn w:val="Normal"/>
    <w:next w:val="Normal"/>
    <w:qFormat/>
    <w:pPr>
      <w:numPr>
        <w:ilvl w:val="1"/>
        <w:numId w:val="1"/>
      </w:numPr>
      <w:tabs>
        <w:tab w:val="clear" w:pos="720"/>
        <w:tab w:val="left" w:pos="1440" w:leader="none"/>
      </w:tabs>
      <w:spacing w:before="0" w:after="240"/>
      <w:ind w:hanging="720" w:start="1440" w:end="0"/>
      <w:jc w:val="both"/>
      <w:outlineLvl w:val="1"/>
    </w:pPr>
    <w:rPr/>
  </w:style>
  <w:style w:type="paragraph" w:styleId="Heading3">
    <w:name w:val="heading 3"/>
    <w:basedOn w:val="Normal"/>
    <w:next w:val="Normal"/>
    <w:qFormat/>
    <w:pPr>
      <w:numPr>
        <w:ilvl w:val="2"/>
        <w:numId w:val="1"/>
      </w:numPr>
      <w:tabs>
        <w:tab w:val="clear" w:pos="720"/>
        <w:tab w:val="left" w:pos="2160" w:leader="none"/>
      </w:tabs>
      <w:spacing w:before="0" w:after="240"/>
      <w:ind w:hanging="720" w:start="2160" w:end="0"/>
      <w:jc w:val="both"/>
      <w:outlineLvl w:val="2"/>
    </w:pPr>
    <w:rPr/>
  </w:style>
  <w:style w:type="paragraph" w:styleId="Heading4">
    <w:name w:val="heading 4"/>
    <w:basedOn w:val="Normal"/>
    <w:next w:val="Normal"/>
    <w:qFormat/>
    <w:pPr>
      <w:numPr>
        <w:ilvl w:val="3"/>
        <w:numId w:val="1"/>
      </w:numPr>
      <w:tabs>
        <w:tab w:val="clear" w:pos="720"/>
        <w:tab w:val="left" w:pos="2880" w:leader="none"/>
      </w:tabs>
      <w:spacing w:before="0" w:after="240"/>
      <w:ind w:hanging="720" w:start="2880" w:end="0"/>
      <w:jc w:val="both"/>
      <w:outlineLvl w:val="3"/>
    </w:pPr>
    <w:rPr/>
  </w:style>
  <w:style w:type="paragraph" w:styleId="Heading5">
    <w:name w:val="heading 5"/>
    <w:basedOn w:val="Normal"/>
    <w:next w:val="Normal"/>
    <w:qFormat/>
    <w:pPr>
      <w:numPr>
        <w:ilvl w:val="4"/>
        <w:numId w:val="1"/>
      </w:numPr>
      <w:tabs>
        <w:tab w:val="clear" w:pos="720"/>
        <w:tab w:val="left" w:pos="3600" w:leader="none"/>
      </w:tabs>
      <w:spacing w:before="0" w:after="240"/>
      <w:ind w:hanging="720" w:start="3600" w:end="0"/>
      <w:jc w:val="both"/>
      <w:outlineLvl w:val="4"/>
    </w:pPr>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style>
  <w:style w:type="character" w:styleId="WW8Num6z0">
    <w:name w:val="WW8Num6z0"/>
    <w:qFormat/>
    <w:rPr>
      <w:b/>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1z0">
    <w:name w:val="WW8Num11z0"/>
    <w:qFormat/>
    <w:rPr>
      <w:b/>
    </w:rPr>
  </w:style>
  <w:style w:type="character" w:styleId="DefaultParagraphFont">
    <w:name w:val="Default Paragraph Font"/>
    <w:qFormat/>
    <w:rPr/>
  </w:style>
  <w:style w:type="character" w:styleId="DOCSFooter">
    <w:name w:val="DOCSFooter"/>
    <w:basedOn w:val="DefaultParagraphFont"/>
    <w:qFormat/>
    <w:rPr>
      <w:rFonts w:ascii="Arial" w:hAnsi="Arial" w:cs="Arial"/>
      <w:sz w:val="14"/>
    </w:rPr>
  </w:style>
  <w:style w:type="character" w:styleId="HidefromTOC">
    <w:name w:val="Hide from TOC"/>
    <w:basedOn w:val="DefaultParagraphFont"/>
    <w:qFormat/>
    <w:rPr>
      <w:sz w:val="20"/>
    </w:rPr>
  </w:style>
  <w:style w:type="character" w:styleId="outtext">
    <w:name w:val="outtext"/>
    <w:basedOn w:val="DefaultParagraphFont"/>
    <w:qFormat/>
    <w:rPr>
      <w:color w:val="000000"/>
      <w:sz w:val="20"/>
    </w:rPr>
  </w:style>
  <w:style w:type="character" w:styleId="outtexthidden">
    <w:name w:val="outtexthidden"/>
    <w:basedOn w:val="outtext"/>
    <w:qFormat/>
    <w:rPr>
      <w:vanish/>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 w:val="right" w:pos="9360" w:leader="none"/>
      </w:tabs>
    </w:pPr>
    <w:rPr/>
  </w:style>
  <w:style w:type="paragraph" w:styleId="BodyText2">
    <w:name w:val="Body Text 2"/>
    <w:basedOn w:val="Normal"/>
    <w:qFormat/>
    <w:pPr>
      <w:ind w:hanging="0" w:start="720" w:end="0"/>
      <w:jc w:val="both"/>
    </w:pPr>
    <w:rPr/>
  </w:style>
  <w:style w:type="paragraph" w:styleId="TxBrt1">
    <w:name w:val="TxBr_t1"/>
    <w:basedOn w:val="Normal"/>
    <w:qFormat/>
    <w:pPr>
      <w:spacing w:lineRule="atLeast" w:line="240"/>
    </w:pPr>
    <w:rPr>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2000-11-16T19:34:00Z</dcterms:created>
  <dc:creator>Akin Gump</dc:creator>
  <dc:description/>
  <dc:language>en-CA</dc:language>
  <cp:lastModifiedBy>tco3272</cp:lastModifiedBy>
  <cp:lastPrinted>2000-11-17T08:16:00Z</cp:lastPrinted>
  <dcterms:modified xsi:type="dcterms:W3CDTF">2000-11-17T11:09:00Z</dcterms:modified>
  <cp:revision>3</cp:revision>
  <dc:subject/>
  <dc:title>NOTICE OF OPEN SEASON AND REVERSE OPEN SEASON</dc:title>
</cp:coreProperties>
</file>