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VOYAGE ORDERS FOR HOEGH GALLEON</w:t>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rPr>
      </w:pPr>
      <w:r>
        <w:rPr>
          <w:rFonts w:cs="Arial" w:ascii="Arial" w:hAnsi="Arial"/>
          <w:b/>
          <w:sz w:val="32"/>
        </w:rPr>
        <w:t>VOY. NO. 001   ORDER NO.  001-02  DATE Mar 21, 2001</w:t>
      </w:r>
    </w:p>
    <w:p>
      <w:pPr>
        <w:pStyle w:val="Normal"/>
        <w:rPr>
          <w:rFonts w:ascii="Arial" w:hAnsi="Arial" w:cs="Arial"/>
        </w:rPr>
      </w:pPr>
      <w:r>
        <w:rPr>
          <w:rFonts w:cs="Arial" w:ascii="Arial" w:hAnsi="Arial"/>
        </w:rPr>
      </w:r>
    </w:p>
    <w:p>
      <w:pPr>
        <w:pStyle w:val="BodyText"/>
        <w:rPr>
          <w:b/>
          <w:i/>
          <w:i/>
          <w:sz w:val="28"/>
          <w:u w:val="single"/>
        </w:rPr>
      </w:pPr>
      <w:r>
        <w:rPr>
          <w:b/>
          <w:sz w:val="28"/>
        </w:rPr>
        <w:t xml:space="preserve">This order supercedes any and all previous voyage orders.  Revisions to these voyage orders will be denoted with consecutive order numbers consisting of the voyage number combined with the particular iteration of the order, i.e. ORDER NO. </w:t>
      </w:r>
      <w:r>
        <w:rPr>
          <w:b/>
          <w:sz w:val="28"/>
          <w:u w:val="single"/>
        </w:rPr>
        <w:t>001-01</w:t>
      </w:r>
      <w:r>
        <w:rPr>
          <w:b/>
          <w:sz w:val="28"/>
        </w:rPr>
        <w:t xml:space="preserve">, ORDER NO. </w:t>
      </w:r>
      <w:r>
        <w:rPr>
          <w:b/>
          <w:sz w:val="28"/>
          <w:u w:val="single"/>
        </w:rPr>
        <w:t>001-02</w:t>
      </w:r>
      <w:r>
        <w:rPr>
          <w:b/>
          <w:sz w:val="28"/>
        </w:rPr>
        <w:t xml:space="preserve">, ORDER NO. </w:t>
      </w:r>
      <w:r>
        <w:rPr>
          <w:b/>
          <w:sz w:val="28"/>
          <w:u w:val="single"/>
        </w:rPr>
        <w:t>001-03</w:t>
      </w:r>
      <w:r>
        <w:rPr>
          <w:b/>
          <w:sz w:val="28"/>
        </w:rPr>
        <w:t>, etc.</w:t>
      </w:r>
    </w:p>
    <w:p>
      <w:pPr>
        <w:pStyle w:val="Normal"/>
        <w:rPr>
          <w:rFonts w:ascii="Arial" w:hAnsi="Arial" w:cs="Arial"/>
          <w:b/>
          <w:i/>
          <w:i/>
          <w:sz w:val="28"/>
          <w:u w:val="single"/>
        </w:rPr>
      </w:pPr>
      <w:r>
        <w:rPr>
          <w:rFonts w:cs="Arial" w:ascii="Arial" w:hAnsi="Arial"/>
          <w:b/>
          <w:i/>
          <w:sz w:val="28"/>
          <w:u w:val="single"/>
        </w:rPr>
      </w:r>
    </w:p>
    <w:p>
      <w:pPr>
        <w:pStyle w:val="Header"/>
        <w:tabs>
          <w:tab w:val="clear" w:pos="4320"/>
          <w:tab w:val="clear" w:pos="8640"/>
        </w:tabs>
        <w:jc w:val="center"/>
        <w:rPr>
          <w:rFonts w:ascii="Arial" w:hAnsi="Arial" w:cs="Arial"/>
          <w:b/>
          <w:sz w:val="28"/>
          <w:u w:val="single"/>
        </w:rPr>
      </w:pPr>
      <w:r>
        <w:rPr>
          <w:rFonts w:cs="Arial" w:ascii="Arial" w:hAnsi="Arial"/>
          <w:b/>
          <w:sz w:val="28"/>
          <w:u w:val="single"/>
        </w:rPr>
        <w:t>CHANGES TO PREVIOUS ORDERS ARE IN BOLD</w:t>
      </w:r>
    </w:p>
    <w:p>
      <w:pPr>
        <w:pStyle w:val="Header"/>
        <w:tabs>
          <w:tab w:val="clear" w:pos="4320"/>
          <w:tab w:val="clear" w:pos="8640"/>
        </w:tabs>
        <w:jc w:val="center"/>
        <w:rPr>
          <w:rFonts w:ascii="Arial" w:hAnsi="Arial" w:cs="Arial"/>
          <w:b/>
          <w:sz w:val="28"/>
          <w:u w:val="single"/>
        </w:rPr>
      </w:pPr>
      <w:r>
        <w:rPr>
          <w:rFonts w:cs="Arial" w:ascii="Arial" w:hAnsi="Arial"/>
          <w:b/>
          <w:sz w:val="28"/>
          <w:u w:val="single"/>
        </w:rPr>
      </w:r>
    </w:p>
    <w:p>
      <w:pPr>
        <w:pStyle w:val="Normal"/>
        <w:numPr>
          <w:ilvl w:val="0"/>
          <w:numId w:val="2"/>
        </w:numPr>
        <w:rPr>
          <w:rFonts w:ascii="Arial" w:hAnsi="Arial" w:cs="Arial"/>
          <w:sz w:val="24"/>
        </w:rPr>
      </w:pPr>
      <w:r>
        <w:rPr>
          <w:rFonts w:cs="Arial" w:ascii="Arial" w:hAnsi="Arial"/>
          <w:sz w:val="24"/>
        </w:rPr>
        <w:t>HOEGH GALLEON is instructed to proceed to Qalhat LNG terminal in the port of Sur, Oman and load approximately 87,600 m</w:t>
      </w:r>
      <w:r>
        <w:rPr>
          <w:rFonts w:cs="Arial" w:ascii="Arial" w:hAnsi="Arial"/>
          <w:sz w:val="24"/>
          <w:vertAlign w:val="superscript"/>
        </w:rPr>
        <w:t xml:space="preserve">3 </w:t>
      </w:r>
      <w:r>
        <w:rPr>
          <w:rFonts w:cs="Arial" w:ascii="Arial" w:hAnsi="Arial"/>
          <w:sz w:val="24"/>
        </w:rPr>
        <w:t>(or maximum safe fill – whichever is greater) LNG.</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The lay days for loading are from Mar. 21, 2001 to Mar 23, 2001.</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Following departure from the loading port the vessel will proceed via the Suez Canal to CMS Trunkline LNG terminal in the port of  Lake Charles, LA,  USA and discharge LNG cargo, retaining a heel of approximately  ____________ m</w:t>
      </w:r>
      <w:r>
        <w:rPr>
          <w:rFonts w:cs="Arial" w:ascii="Arial" w:hAnsi="Arial"/>
          <w:sz w:val="24"/>
          <w:vertAlign w:val="superscript"/>
        </w:rPr>
        <w:t>3</w:t>
      </w:r>
      <w:r>
        <w:rPr>
          <w:rFonts w:cs="Arial" w:ascii="Arial" w:hAnsi="Arial"/>
          <w:sz w:val="24"/>
        </w:rPr>
        <w:t>.</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The lay days for discharging are from Apr 16, 2001 to Apr 18, 2001.</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Inspector of record will be ITS Caleb Brett at  load port and  to be named at discharge port.  Allow inspectors safe and free access to the vessel at all times while vessel is alongside.</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Prior to or after loading/discharging, vessel is directed to the bunkering port of ____________ to load ____________ mt of fuel oil and ____________ mt of gas oil.</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Master to confirm to Charterers, receipt of this order.</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Normal BOG to be used during the loaded passage, unless alternately authorized by Charterer under Special Instructions.  During the ballast passage, vessel to modulate the speed whenever possible for minimum fuel oil consumption and best use of BOG as fuel.</w:t>
      </w:r>
    </w:p>
    <w:p>
      <w:pPr>
        <w:pStyle w:val="Normal"/>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 xml:space="preserve">Special Instructions:  </w:t>
      </w:r>
    </w:p>
    <w:p>
      <w:pPr>
        <w:pStyle w:val="Normal"/>
        <w:numPr>
          <w:ilvl w:val="0"/>
          <w:numId w:val="3"/>
        </w:numPr>
        <w:rPr>
          <w:rFonts w:ascii="Arial" w:hAnsi="Arial" w:cs="Arial"/>
          <w:sz w:val="24"/>
        </w:rPr>
      </w:pPr>
      <w:r>
        <w:rPr>
          <w:rFonts w:cs="Arial" w:ascii="Arial" w:hAnsi="Arial"/>
          <w:sz w:val="24"/>
        </w:rPr>
        <w:t>Orders on heel retention and bunkering will follow at a later date.</w:t>
      </w:r>
    </w:p>
    <w:p>
      <w:pPr>
        <w:pStyle w:val="Normal"/>
        <w:numPr>
          <w:ilvl w:val="0"/>
          <w:numId w:val="3"/>
        </w:numPr>
        <w:rPr>
          <w:rFonts w:ascii="Arial" w:hAnsi="Arial" w:cs="Arial"/>
          <w:sz w:val="24"/>
        </w:rPr>
      </w:pPr>
      <w:r>
        <w:rPr>
          <w:rFonts w:cs="Arial" w:ascii="Arial" w:hAnsi="Arial"/>
          <w:sz w:val="24"/>
        </w:rPr>
        <w:t>Vessel to proceed to the Suez Canal at the maximum guaranteed speed of 17.5 knots.  After passage through the canal, Master to advise charterer of the ETA to discharge port if speed were maintained at 17.5 knots and also what average speed would be necessary to arrive at discharge port at beginning of delivery window.</w:t>
      </w:r>
    </w:p>
    <w:p>
      <w:pPr>
        <w:pStyle w:val="Normal"/>
        <w:numPr>
          <w:ilvl w:val="0"/>
          <w:numId w:val="3"/>
        </w:numPr>
        <w:rPr>
          <w:rFonts w:ascii="Arial" w:hAnsi="Arial" w:cs="Arial"/>
          <w:sz w:val="24"/>
        </w:rPr>
      </w:pPr>
      <w:r>
        <w:rPr>
          <w:rFonts w:cs="Arial" w:ascii="Arial" w:hAnsi="Arial"/>
          <w:b/>
          <w:sz w:val="24"/>
        </w:rPr>
        <w:t>CARGO VAPOR PRESSURE ON ARRIVAL AT DISCHARGE PORT TO BE 1112 MB MAXIMUM ABSOLUTE.</w:t>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05"/>
        </w:tabs>
        <w:ind w:start="405" w:hanging="360"/>
      </w:pPr>
      <w:rPr/>
    </w:lvl>
  </w:abstractNum>
  <w:abstractNum w:abstractNumId="3">
    <w:lvl w:ilvl="0">
      <w:start w:val="1"/>
      <w:numFmt w:val="lowerLetter"/>
      <w:lvlText w:val="%1)"/>
      <w:lvlJc w:val="start"/>
      <w:pPr>
        <w:tabs>
          <w:tab w:val="num" w:pos="765"/>
        </w:tabs>
        <w:ind w:start="765"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14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2001-03-15T16:47:00Z</dcterms:created>
  <dc:creator>gblack</dc:creator>
  <dc:description/>
  <dc:language>en-CA</dc:language>
  <cp:lastModifiedBy>dmaster</cp:lastModifiedBy>
  <cp:lastPrinted>2001-03-15T12:53:00Z</cp:lastPrinted>
  <dcterms:modified xsi:type="dcterms:W3CDTF">2001-03-21T13:07:00Z</dcterms:modified>
  <cp:revision>3</cp:revision>
  <dc:subject/>
  <dc:title>VOYAGE ORDERS FOR HOEGH GALLEON – VOYAGE NUMBER ______</dc:title>
</cp:coreProperties>
</file>