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both"/>
        <w:rPr/>
      </w:pPr>
      <w:r>
        <w:rPr/>
        <w:tab/>
      </w:r>
      <w:r>
        <w:rPr>
          <w:b/>
          <w:sz w:val="28"/>
        </w:rPr>
        <w:t>UNITED STATES OF AMERICA</w:t>
      </w:r>
    </w:p>
    <w:p>
      <w:pPr>
        <w:pStyle w:val="Normal"/>
        <w:tabs>
          <w:tab w:val="clear" w:pos="720"/>
          <w:tab w:val="center" w:pos="4680" w:leader="none"/>
        </w:tabs>
        <w:jc w:val="both"/>
        <w:rPr>
          <w:b/>
          <w:sz w:val="28"/>
        </w:rPr>
      </w:pPr>
      <w:r>
        <w:rPr>
          <w:b/>
          <w:sz w:val="28"/>
        </w:rPr>
        <w:tab/>
        <w:t>BEFORE THE</w:t>
      </w:r>
    </w:p>
    <w:p>
      <w:pPr>
        <w:pStyle w:val="Normal"/>
        <w:tabs>
          <w:tab w:val="clear" w:pos="720"/>
          <w:tab w:val="center" w:pos="4680" w:leader="none"/>
        </w:tabs>
        <w:jc w:val="both"/>
        <w:rPr>
          <w:b/>
          <w:sz w:val="28"/>
        </w:rPr>
      </w:pPr>
      <w:r>
        <w:rPr>
          <w:b/>
          <w:sz w:val="28"/>
        </w:rPr>
        <w:tab/>
        <w:t>FEDERAL ENERGY REGULATORY COMMISSION</w:t>
      </w:r>
    </w:p>
    <w:p>
      <w:pPr>
        <w:pStyle w:val="Normal"/>
        <w:jc w:val="both"/>
        <w:rPr/>
      </w:pPr>
      <w:r>
        <w:rPr/>
      </w:r>
    </w:p>
    <w:p>
      <w:pPr>
        <w:pStyle w:val="Normal"/>
        <w:jc w:val="both"/>
        <w:rPr/>
      </w:pPr>
      <w:r>
        <w:rPr/>
      </w:r>
    </w:p>
    <w:p>
      <w:pPr>
        <w:pStyle w:val="Normal"/>
        <w:jc w:val="both"/>
        <w:rPr/>
      </w:pPr>
      <w:r>
        <w:rPr/>
        <w:t>San Diego Gas &amp; Electric Company</w:t>
        <w:tab/>
        <w:tab/>
        <w:t>)</w:t>
      </w:r>
    </w:p>
    <w:p>
      <w:pPr>
        <w:pStyle w:val="Normal"/>
        <w:ind w:firstLine="4320" w:end="0"/>
        <w:jc w:val="both"/>
        <w:rPr/>
      </w:pPr>
      <w:r>
        <w:rPr/>
        <w:t>)</w:t>
      </w:r>
    </w:p>
    <w:p>
      <w:pPr>
        <w:pStyle w:val="Normal"/>
        <w:tabs>
          <w:tab w:val="clear" w:pos="720"/>
          <w:tab w:val="left" w:pos="-1440" w:leader="none"/>
        </w:tabs>
        <w:ind w:hanging="2880" w:start="4320" w:end="0"/>
        <w:jc w:val="both"/>
        <w:rPr/>
      </w:pPr>
      <w:r>
        <w:rPr/>
        <w:t>Complainant,</w:t>
        <w:tab/>
        <w:tab/>
        <w:tab/>
        <w:t>)</w:t>
      </w:r>
    </w:p>
    <w:p>
      <w:pPr>
        <w:pStyle w:val="Normal"/>
        <w:ind w:firstLine="4320" w:end="0"/>
        <w:jc w:val="both"/>
        <w:rPr/>
      </w:pPr>
      <w:r>
        <w:rPr/>
        <w:t>)</w:t>
      </w:r>
    </w:p>
    <w:p>
      <w:pPr>
        <w:pStyle w:val="Normal"/>
        <w:ind w:firstLine="2160" w:end="0"/>
        <w:jc w:val="both"/>
        <w:rPr/>
      </w:pPr>
      <w:r>
        <w:rPr/>
        <w:t>v.</w:t>
        <w:tab/>
        <w:tab/>
        <w:tab/>
        <w:t>)</w:t>
      </w:r>
    </w:p>
    <w:p>
      <w:pPr>
        <w:pStyle w:val="Normal"/>
        <w:ind w:firstLine="4320" w:end="0"/>
        <w:jc w:val="both"/>
        <w:rPr/>
      </w:pPr>
      <w:r>
        <w:rPr/>
        <w:t>)</w:t>
      </w:r>
    </w:p>
    <w:p>
      <w:pPr>
        <w:pStyle w:val="Normal"/>
        <w:tabs>
          <w:tab w:val="clear" w:pos="720"/>
          <w:tab w:val="left" w:pos="-1440" w:leader="none"/>
        </w:tabs>
        <w:ind w:hanging="4320" w:start="4320" w:end="0"/>
        <w:jc w:val="both"/>
        <w:rPr/>
      </w:pPr>
      <w:r>
        <w:rPr/>
        <w:t>Sellers of Energy and Ancillary Services</w:t>
        <w:tab/>
        <w:t>)</w:t>
      </w:r>
    </w:p>
    <w:p>
      <w:pPr>
        <w:pStyle w:val="Normal"/>
        <w:tabs>
          <w:tab w:val="clear" w:pos="720"/>
          <w:tab w:val="left" w:pos="-1440" w:leader="none"/>
        </w:tabs>
        <w:ind w:hanging="4320" w:start="4320" w:end="0"/>
        <w:jc w:val="both"/>
        <w:rPr/>
      </w:pPr>
      <w:r>
        <w:rPr/>
        <w:t xml:space="preserve">into Markets Operated by the California </w:t>
        <w:tab/>
        <w:t>)</w:t>
      </w:r>
    </w:p>
    <w:p>
      <w:pPr>
        <w:pStyle w:val="Normal"/>
        <w:tabs>
          <w:tab w:val="clear" w:pos="720"/>
          <w:tab w:val="left" w:pos="-1440" w:leader="none"/>
        </w:tabs>
        <w:ind w:hanging="5760" w:start="5760" w:end="0"/>
        <w:jc w:val="both"/>
        <w:rPr/>
      </w:pPr>
      <w:r>
        <w:rPr/>
        <w:t>Independent System Operator</w:t>
        <w:tab/>
        <w:tab/>
        <w:tab/>
        <w:t>)</w:t>
        <w:tab/>
        <w:tab/>
        <w:t>Docket No. EL00-95-000</w:t>
      </w:r>
    </w:p>
    <w:p>
      <w:pPr>
        <w:pStyle w:val="Normal"/>
        <w:tabs>
          <w:tab w:val="clear" w:pos="720"/>
          <w:tab w:val="left" w:pos="-1440" w:leader="none"/>
        </w:tabs>
        <w:ind w:hanging="4320" w:start="4320" w:end="0"/>
        <w:jc w:val="both"/>
        <w:rPr/>
      </w:pPr>
      <w:r>
        <w:rPr/>
        <w:t xml:space="preserve">and the California Power Exchange </w:t>
        <w:tab/>
        <w:tab/>
        <w:t>)</w:t>
      </w:r>
    </w:p>
    <w:p>
      <w:pPr>
        <w:pStyle w:val="Normal"/>
        <w:ind w:firstLine="4320" w:end="0"/>
        <w:jc w:val="both"/>
        <w:rPr/>
      </w:pPr>
      <w:r>
        <w:rPr/>
        <w:t>)</w:t>
      </w:r>
    </w:p>
    <w:p>
      <w:pPr>
        <w:pStyle w:val="Normal"/>
        <w:tabs>
          <w:tab w:val="clear" w:pos="720"/>
          <w:tab w:val="left" w:pos="-1440" w:leader="none"/>
        </w:tabs>
        <w:ind w:hanging="4320" w:start="5760" w:end="0"/>
        <w:jc w:val="both"/>
        <w:rPr/>
      </w:pPr>
      <w:r>
        <w:rPr/>
        <w:t>Respondents.</w:t>
        <w:tab/>
        <w:tab/>
        <w:tab/>
        <w:t>)</w:t>
        <w:tab/>
        <w:tab/>
      </w:r>
    </w:p>
    <w:p>
      <w:pPr>
        <w:pStyle w:val="Normal"/>
        <w:ind w:firstLine="4320" w:end="0"/>
        <w:jc w:val="both"/>
        <w:rPr/>
      </w:pPr>
      <w:r>
        <w:rPr/>
        <w:t>)</w:t>
      </w:r>
    </w:p>
    <w:p>
      <w:pPr>
        <w:pStyle w:val="Normal"/>
        <w:tabs>
          <w:tab w:val="clear" w:pos="720"/>
          <w:tab w:val="left" w:pos="-1440" w:leader="none"/>
        </w:tabs>
        <w:ind w:hanging="1440" w:start="5760" w:end="0"/>
        <w:jc w:val="both"/>
        <w:rPr/>
      </w:pPr>
      <w:r>
        <w:rPr/>
        <w:t>)</w:t>
        <w:tab/>
        <w:tab/>
      </w:r>
    </w:p>
    <w:p>
      <w:pPr>
        <w:pStyle w:val="Normal"/>
        <w:tabs>
          <w:tab w:val="clear" w:pos="720"/>
          <w:tab w:val="left" w:pos="-1440" w:leader="none"/>
        </w:tabs>
        <w:ind w:hanging="3600" w:start="3600" w:end="0"/>
        <w:jc w:val="both"/>
        <w:rPr/>
      </w:pPr>
      <w:r>
        <w:rPr/>
        <w:t xml:space="preserve">Investigation of Practices of the </w:t>
        <w:tab/>
        <w:tab/>
        <w:t>)</w:t>
      </w:r>
    </w:p>
    <w:p>
      <w:pPr>
        <w:pStyle w:val="Normal"/>
        <w:tabs>
          <w:tab w:val="clear" w:pos="720"/>
          <w:tab w:val="left" w:pos="-1440" w:leader="none"/>
        </w:tabs>
        <w:ind w:hanging="5760" w:start="5760" w:end="0"/>
        <w:jc w:val="both"/>
        <w:rPr/>
      </w:pPr>
      <w:r>
        <w:rPr/>
        <w:t xml:space="preserve">California Independent System Operator </w:t>
        <w:tab/>
        <w:t>)</w:t>
        <w:tab/>
        <w:tab/>
        <w:t xml:space="preserve">Docket No. EL00-98-000 </w:t>
        <w:tab/>
      </w:r>
    </w:p>
    <w:p>
      <w:pPr>
        <w:pStyle w:val="Normal"/>
        <w:tabs>
          <w:tab w:val="clear" w:pos="720"/>
          <w:tab w:val="left" w:pos="-1440" w:leader="none"/>
        </w:tabs>
        <w:ind w:hanging="5760" w:start="5760" w:end="0"/>
        <w:jc w:val="both"/>
        <w:rPr/>
      </w:pPr>
      <w:r>
        <w:rPr/>
        <w:t>and the California Power Exchange</w:t>
        <w:tab/>
        <w:tab/>
        <w:t>)</w:t>
        <w:tab/>
        <w:tab/>
        <w:t>(and Related Cases)</w:t>
      </w:r>
    </w:p>
    <w:p>
      <w:pPr>
        <w:pStyle w:val="Normal"/>
        <w:jc w:val="both"/>
        <w:rPr/>
      </w:pPr>
      <w:r>
        <w:rPr/>
      </w:r>
    </w:p>
    <w:p>
      <w:pPr>
        <w:pStyle w:val="Normal"/>
        <w:ind w:firstLine="1440" w:end="0"/>
        <w:jc w:val="both"/>
        <w:rPr>
          <w:b/>
        </w:rPr>
      </w:pPr>
      <w:r>
        <w:rPr>
          <w:b/>
        </w:rPr>
      </w:r>
    </w:p>
    <w:p>
      <w:pPr>
        <w:pStyle w:val="Normal"/>
        <w:jc w:val="center"/>
        <w:rPr>
          <w:b/>
        </w:rPr>
      </w:pPr>
      <w:r>
        <w:rPr>
          <w:b/>
        </w:rPr>
        <w:t xml:space="preserve">RESPONSE OF </w:t>
      </w:r>
    </w:p>
    <w:p>
      <w:pPr>
        <w:pStyle w:val="Normal"/>
        <w:jc w:val="center"/>
        <w:rPr>
          <w:b/>
        </w:rPr>
      </w:pPr>
      <w:r>
        <w:rPr>
          <w:b/>
        </w:rPr>
        <w:t>ENRON POWER MARKETING, INC.</w:t>
      </w:r>
    </w:p>
    <w:p>
      <w:pPr>
        <w:pStyle w:val="Normal"/>
        <w:jc w:val="center"/>
        <w:rPr>
          <w:b/>
        </w:rPr>
      </w:pPr>
      <w:r>
        <w:rPr>
          <w:b/>
        </w:rPr>
        <w:t xml:space="preserve">AND ENRON ENERGY SERVICES, INC. </w:t>
      </w:r>
    </w:p>
    <w:p>
      <w:pPr>
        <w:pStyle w:val="Normal"/>
        <w:jc w:val="center"/>
        <w:rPr/>
      </w:pPr>
      <w:r>
        <w:rPr>
          <w:b/>
          <w:u w:val="single"/>
        </w:rPr>
        <w:t>TO CHAIRMAN HOECKER</w:t>
      </w:r>
      <w:r>
        <w:rPr>
          <w:rFonts w:cs="WP TypographicSymbols" w:ascii="WP TypographicSymbols" w:hAnsi="WP TypographicSymbols"/>
          <w:b/>
          <w:u w:val="single"/>
        </w:rPr>
        <w:t>=</w:t>
      </w:r>
      <w:r>
        <w:rPr>
          <w:b/>
          <w:u w:val="single"/>
        </w:rPr>
        <w:t>S QUESTIONS</w:t>
      </w:r>
    </w:p>
    <w:p>
      <w:pPr>
        <w:pStyle w:val="Normal"/>
        <w:jc w:val="both"/>
        <w:rPr/>
      </w:pPr>
      <w:r>
        <w:rPr/>
      </w:r>
    </w:p>
    <w:p>
      <w:pPr>
        <w:pStyle w:val="Normal"/>
        <w:tabs>
          <w:tab w:val="clear" w:pos="720"/>
          <w:tab w:val="left" w:pos="-1440" w:leader="none"/>
        </w:tabs>
        <w:ind w:hanging="720" w:start="720" w:end="0"/>
        <w:jc w:val="both"/>
        <w:rPr>
          <w:b/>
        </w:rPr>
      </w:pPr>
      <w:r>
        <w:rPr>
          <w:b/>
        </w:rPr>
        <w:t>1.</w:t>
        <w:tab/>
        <w:t>A number of suppliers argue that prices were not unjust and unreasonable when the actual costs of production, opportunity costs in the West, and plant factors of peaking units are taken into account.  But these broad claims are anecdotal and not supported by data for the periods in question.  Please supply data that supports these claims.  (AES, Calpine, Duke Energy, Dynegy, Enron, Independent Energy Producers, Reliant Energy, Western Power Trading Forum, Williams Energy).</w:t>
      </w:r>
    </w:p>
    <w:p>
      <w:pPr>
        <w:pStyle w:val="Normal"/>
        <w:jc w:val="both"/>
        <w:rPr/>
      </w:pPr>
      <w:r>
        <w:rPr/>
      </w:r>
    </w:p>
    <w:p>
      <w:pPr>
        <w:pStyle w:val="Normal"/>
        <w:jc w:val="both"/>
        <w:rPr>
          <w:b/>
          <w:u w:val="single"/>
        </w:rPr>
      </w:pPr>
      <w:r>
        <w:rPr>
          <w:b/>
          <w:u w:val="single"/>
        </w:rPr>
        <w:t>Costs of Production</w:t>
      </w:r>
    </w:p>
    <w:p>
      <w:pPr>
        <w:pStyle w:val="Normal"/>
        <w:jc w:val="both"/>
        <w:rPr/>
      </w:pPr>
      <w:r>
        <w:rPr/>
      </w:r>
    </w:p>
    <w:p>
      <w:pPr>
        <w:pStyle w:val="Normal"/>
        <w:jc w:val="both"/>
        <w:rPr/>
      </w:pPr>
      <w:r>
        <w:rPr/>
        <w:t>Enron Power Marketing, Inc. ("EPMI") and Enron Energy Services, Inc. ("EES") (collectively, "Enron") do not own or control any generation in California.  In the remainder of the Western Systems Coordinating Council ("WSCC"), Enron owns only a 50-MW cogenerator in Las Vegas, Nevada.  Enron had a contract for the summer months of 2000 to sell 45 MW of its output to Nevada Power during peak hours.  Thus, we are not able to provide much direct evidence in response to this question.</w:t>
      </w:r>
    </w:p>
    <w:p>
      <w:pPr>
        <w:pStyle w:val="Normal"/>
        <w:jc w:val="both"/>
        <w:rPr/>
      </w:pPr>
      <w:r>
        <w:rPr/>
      </w:r>
    </w:p>
    <w:p>
      <w:pPr>
        <w:sectPr>
          <w:type w:val="nextPage"/>
          <w:pgSz w:w="12240" w:h="15840"/>
          <w:pgMar w:left="1440" w:right="1440" w:gutter="0" w:header="0" w:top="1440" w:footer="0" w:bottom="864"/>
          <w:pgNumType w:fmt="decimal"/>
          <w:formProt w:val="false"/>
          <w:textDirection w:val="lrTb"/>
          <w:docGrid w:type="default" w:linePitch="360" w:charSpace="0"/>
        </w:sectPr>
      </w:pPr>
    </w:p>
    <w:p>
      <w:pPr>
        <w:pStyle w:val="Normal"/>
        <w:jc w:val="both"/>
        <w:rPr/>
      </w:pPr>
      <w:r>
        <w:rPr/>
        <w:t>However, we can respond to the claim that has been made by some that prices above the cost of production are inherently unjust and unreasonable.  For the reasons discussed in our November 1, 2000 Comments in this proceeding at 14-15 ("</w:t>
      </w:r>
      <w:r>
        <w:rPr>
          <w:i/>
        </w:rPr>
        <w:t>Enron Comments</w:t>
      </w:r>
      <w:r>
        <w:rPr/>
        <w:t>"), these claims are wrong as a matter of law and basic economic principles.  Market-based rates are just and reasonable as long as the seller does not have market power.</w:t>
      </w:r>
      <w:r>
        <w:rPr>
          <w:rStyle w:val="FootnoteCharacters"/>
          <w:rStyle w:val="FootnoteReference"/>
          <w:vertAlign w:val="superscript"/>
        </w:rPr>
        <w:footnoteReference w:id="2"/>
      </w:r>
      <w:r>
        <w:rPr/>
        <w:t xml:space="preserve">  The traditional method of analyzing market power focuses on the ability of a seller to set and maintain prices in excess of cost by curtailing output and creating scarcity (</w:t>
      </w:r>
      <w:r>
        <w:rPr>
          <w:i/>
        </w:rPr>
        <w:t>Enron Comments</w:t>
      </w:r>
      <w:r>
        <w:rPr/>
        <w:t xml:space="preserve"> at 16); it does </w:t>
      </w:r>
      <w:r>
        <w:rPr>
          <w:i/>
        </w:rPr>
        <w:t>not</w:t>
      </w:r>
      <w:r>
        <w:rPr/>
        <w:t xml:space="preserve"> rely simply on measures of prices above variable cost.</w:t>
      </w:r>
      <w:r>
        <w:rPr>
          <w:rStyle w:val="FootnoteCharacters"/>
          <w:rStyle w:val="FootnoteReference"/>
          <w:vertAlign w:val="superscript"/>
        </w:rPr>
        <w:footnoteReference w:id="3"/>
      </w:r>
      <w:r>
        <w:rPr>
          <w:vertAlign w:val="superscript"/>
        </w:rPr>
        <w:t xml:space="preserve"> </w:t>
      </w:r>
    </w:p>
    <w:p>
      <w:pPr>
        <w:pStyle w:val="Normal"/>
        <w:jc w:val="both"/>
        <w:rPr/>
      </w:pPr>
      <w:r>
        <w:rPr/>
      </w:r>
    </w:p>
    <w:p>
      <w:pPr>
        <w:pStyle w:val="Normal"/>
        <w:jc w:val="both"/>
        <w:rPr>
          <w:b/>
          <w:u w:val="single"/>
        </w:rPr>
      </w:pPr>
      <w:r>
        <w:rPr>
          <w:b/>
          <w:u w:val="single"/>
        </w:rPr>
        <w:t>Opportunity Costs</w:t>
      </w:r>
    </w:p>
    <w:p>
      <w:pPr>
        <w:pStyle w:val="Normal"/>
        <w:jc w:val="both"/>
        <w:rPr/>
      </w:pPr>
      <w:r>
        <w:rPr/>
      </w:r>
    </w:p>
    <w:p>
      <w:pPr>
        <w:pStyle w:val="Normal"/>
        <w:jc w:val="both"/>
        <w:rPr/>
      </w:pPr>
      <w:r>
        <w:rPr/>
        <w:t>With regard to opportunity costs, the critical point is that generators and marketers that supply electricity to California markets operate in the interconnected WSCC.  Market prices prevalent in the WSCC outside of California reflect the opportunity cost of serving the California market.  As established in the PX Compliance Unit's report of November 1, 2000, prices between California and other major trading hubs in the WSCC move in tandem, which is a sign of a single market in which prices in one region represent the opportunity cost in another.</w:t>
      </w:r>
      <w:r>
        <w:rPr>
          <w:rStyle w:val="FootnoteCharacters"/>
          <w:rStyle w:val="FootnoteReference"/>
          <w:vertAlign w:val="superscript"/>
        </w:rPr>
        <w:footnoteReference w:id="4"/>
      </w:r>
      <w:r>
        <w:rPr>
          <w:vertAlign w:val="superscript"/>
        </w:rPr>
        <w:t xml:space="preserve"> </w:t>
      </w:r>
      <w:r>
        <w:rPr/>
        <w:t xml:space="preserve"> Because Enron owns little generation in the West, it evaluates these opportunity costs in deciding where to sell any available excess supplies they may have from time to time through trading activities.  These alternative markets are defined by (i) geography (California, Northwest/COB/Mid-Columbia, Southwest/Palo Verde/Mead/Four Corners), (ii) degree of forwardness, and (iii) in the case of energy-limited resources, choice of available market.</w:t>
      </w:r>
    </w:p>
    <w:p>
      <w:pPr>
        <w:pStyle w:val="Normal"/>
        <w:jc w:val="both"/>
        <w:rPr/>
      </w:pPr>
      <w:r>
        <w:rPr/>
      </w:r>
    </w:p>
    <w:p>
      <w:pPr>
        <w:pStyle w:val="Normal"/>
        <w:jc w:val="both"/>
        <w:rPr>
          <w:b/>
          <w:u w:val="single"/>
        </w:rPr>
      </w:pPr>
      <w:r>
        <w:rPr>
          <w:b/>
          <w:u w:val="single"/>
        </w:rPr>
        <w:t>Peaking Units</w:t>
      </w:r>
    </w:p>
    <w:p>
      <w:pPr>
        <w:pStyle w:val="Normal"/>
        <w:jc w:val="both"/>
        <w:rPr/>
      </w:pPr>
      <w:r>
        <w:rPr/>
      </w:r>
    </w:p>
    <w:p>
      <w:pPr>
        <w:pStyle w:val="Normal"/>
        <w:jc w:val="both"/>
        <w:rPr/>
      </w:pPr>
      <w:r>
        <w:rPr/>
        <w:t>Because Enron owns no generation in California, it can provide no data about the actual costs of production or the factors affecting the costs of peaking units in California.  Enron has, however, evaluated the general unit costs and believes that the Staff's report adequately reflects those costs.</w:t>
      </w:r>
      <w:r>
        <w:rPr>
          <w:rStyle w:val="FootnoteCharacters"/>
          <w:rStyle w:val="FootnoteReference"/>
          <w:vertAlign w:val="superscript"/>
        </w:rPr>
        <w:footnoteReference w:id="5"/>
      </w:r>
      <w:r>
        <w:rPr/>
        <w:t xml:space="preserve"> Even at recent prices and a price cap in the $750/$500/$250 level, prices were insufficient to support the recovery of peaking unit costs.  Enron also notes that, subsequent to Staff</w:t>
      </w:r>
      <w:r>
        <w:rPr>
          <w:rFonts w:cs="WP TypographicSymbols" w:ascii="WP TypographicSymbols" w:hAnsi="WP TypographicSymbols"/>
        </w:rPr>
        <w:t>=</w:t>
      </w:r>
      <w:r>
        <w:rPr/>
        <w:t>s report, the price of natural gas in California has been extremely volatile, currently fluctuating between $15 and $20 per MMBtu.</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2.</w:t>
        <w:tab/>
        <w:t>How do you explain the levels of earnings presented in the chart supplied to the Commission by the San Diego County Board of Supervisors?  What portion is attributable to California operations?  Do you think these earning levels are the result of just and reasonable rates and, if so, why? (AES, Calpine, Duke Energy, Dynegy, Enron, Independent Energy Producers, Reliant Energy, Western Power Trading Forum, Williams Energy)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The figures attributed by the San Diego Board to Enron's earning do not reconcile with the net earnings listed on our web site or the audited net earnings included in Enron Corp.'s 10Q information provided to the PUC.  In Attachment 2, we have appended a spreadsheet that shows Enron Corp.'s actual net earning for 1998, 1999, and 2000.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In addition to the factual inaccuracies in the San Diego Board's chart, its net earnings analysis is fundamentally flawed with regard to Enron because that it does not reflect just Enron Corp.'s electricity business in California.  Instead, those figures relate to Enron Corp.'s net earnings across all of its businesses, including global wholesale energy commodities, services, contract portfolio management, assets and investments; retail energy services; pipeline transmission and distribution; oil and gas production, and broadband services. EPMI and EES do not keep records of the portion of Enron Corp.'s net earnings that are attributable to California electric operations.</w:t>
      </w:r>
      <w:r>
        <w:rPr>
          <w:b/>
          <w:sz w:val="26"/>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The increase in the earnings levels from 1999 to 2000 shown on Attachment 2 demonstrate the conceptual flaws with the San Diego Board's argument that Enron's charges this summer can somehow be shown to be unjust and unreasonable simply on the basis of its earnings.  As can be seen, Attachment 2 shows that the level of earnings increase between 1999 and 2000 was significantly less than the increase in the level of earnings during comparable periods between 1998 to 1999 (61 percent as compared to 106 percent), which is a period prior to the advent of the high prices that occurred this past summer.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notePr>
            <w:numFmt w:val="decimal"/>
          </w:footnotePr>
          <w:type w:val="continuous"/>
          <w:pgSz w:w="12240" w:h="15840"/>
          <w:pgMar w:left="1440" w:right="1440" w:gutter="0" w:header="0" w:top="1440" w:footer="0" w:bottom="864"/>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Beyond these technical flaws in the San Diego Board's position, Enron's rates during this period were in fact just and reasonable as a matter of law.</w:t>
      </w:r>
      <w:r>
        <w:rPr>
          <w:rStyle w:val="FootnoteCharacters"/>
          <w:rStyle w:val="FootnoteReference"/>
          <w:vertAlign w:val="superscript"/>
        </w:rPr>
        <w:footnoteReference w:id="6"/>
      </w:r>
      <w:r>
        <w:rPr>
          <w:vertAlign w:val="superscript"/>
        </w:rPr>
        <w:t xml:space="preserve"> </w:t>
      </w:r>
      <w:r>
        <w:rPr/>
        <w:t xml:space="preserve"> Those rates were at negotiated levels that were consistent with the market rules established by the ISO's and PX's tariff and were at all times at or below the caps established by the California ISO.  As Enron discussed in its November 22 Comments, </w:t>
      </w:r>
      <w:r>
        <w:rPr>
          <w:i/>
        </w:rPr>
        <w:t>Enron Comments</w:t>
      </w:r>
      <w:r>
        <w:rPr/>
        <w:t xml:space="preserve"> at 18, under the filed rate doctrine, regulated utilities are permitted to charge the rates on file with the Commission.</w:t>
      </w:r>
      <w:r>
        <w:rPr>
          <w:rStyle w:val="FootnoteCharacters"/>
          <w:rStyle w:val="FootnoteReference"/>
          <w:vertAlign w:val="superscript"/>
        </w:rPr>
        <w:footnoteReference w:id="7"/>
      </w:r>
      <w:r>
        <w:rPr/>
        <w:t xml:space="preserve">  That rate can take different forms: they can be reflected in a stated rate or a formula rate.</w:t>
      </w:r>
      <w:r>
        <w:rPr>
          <w:rStyle w:val="FootnoteCharacters"/>
          <w:rStyle w:val="FootnoteReference"/>
          <w:vertAlign w:val="superscript"/>
        </w:rPr>
        <w:footnoteReference w:id="8"/>
      </w:r>
      <w:r>
        <w:rPr/>
        <w:t xml:space="preserve">  Or, as here, they can be reflected in market-based rates.  Enron's filed rate is a market-based rate, which the Commission accepted following its determination that neither Enron nor its affiliates possessed market power or that any such power had been mitigated.</w:t>
      </w:r>
      <w:r>
        <w:rPr>
          <w:rStyle w:val="FootnoteCharacters"/>
          <w:rStyle w:val="FootnoteReference"/>
          <w:vertAlign w:val="superscript"/>
        </w:rPr>
        <w:footnoteReference w:id="9"/>
      </w:r>
      <w:r>
        <w:rPr/>
        <w:t xml:space="preserve">  The ultimate prices that Enron could charge under its market-based rates are affected by the ISO's and PX's market rules, which constitute the mechanism that ensure that the rates charged are the product of lawful market forces, and thus are relied upon to assure that prices are "just and reasonable."</w:t>
      </w:r>
      <w:r>
        <w:rPr>
          <w:rStyle w:val="FootnoteCharacters"/>
          <w:rStyle w:val="FootnoteReference"/>
          <w:vertAlign w:val="superscript"/>
        </w:rPr>
        <w:footnoteReference w:id="10"/>
      </w:r>
      <w:r>
        <w:rPr>
          <w:vertAlign w:val="superscript"/>
        </w:rPr>
        <w:t xml:space="preserve"> </w:t>
      </w:r>
      <w:r>
        <w:rPr/>
        <w:t xml:space="preserve"> Hence, the market-based rates that Enron charged in accord with the market rules of the ISO and PX are the "filed rates" that are </w:t>
      </w:r>
      <w:r>
        <w:rPr>
          <w:i/>
        </w:rPr>
        <w:t>per se</w:t>
      </w:r>
      <w:r>
        <w:rPr/>
        <w:t xml:space="preserve"> just and reasonable.</w:t>
      </w:r>
      <w:r>
        <w:rPr>
          <w:rStyle w:val="FootnoteCharacters"/>
          <w:rStyle w:val="FootnoteReference"/>
          <w:vertAlign w:val="superscript"/>
        </w:rPr>
        <w:footnoteReference w:id="11"/>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Although it has been alleged generally that sellers of electricity in California (presumably including Enron) charged rates last summer that were unjust and unreasonable, no allegation has been made that Enron violated the filed rate, namely, rates derived under the market rules established by the ISO's and PX's tariffs.  The vague general assertions of market abuse that have been made are inadequate to support a determination that the rates charged were unjust and unreasonable.  The Commission has held that market participants must be afforded notice of the behavior that is to be prohibited.  Market participants cannot be held to have violated the market rules based upon standards not reflected in the ISO's and PX's tariffs.</w:t>
      </w:r>
      <w:r>
        <w:rPr>
          <w:rStyle w:val="FootnoteCharacters"/>
          <w:rStyle w:val="FootnoteReference"/>
          <w:vertAlign w:val="superscript"/>
        </w:rPr>
        <w:footnoteReference w:id="12"/>
      </w:r>
      <w:r>
        <w:rPr>
          <w:vertAlign w:val="superscript"/>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3.</w:t>
        <w:tab/>
        <w:t>The Commission has proposed that the existing ISO stakeholder board, which includes members appointed by the Electricity Oversight Board, select the new independent board from a slate of qualified candidates identified by an independent search firm.  Should governmental authorities have a role in selecting the board?  What other selection processes should we consider and why? (California Public Utility Commission, California Electricity Oversight Board, other stakeholders)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No governmental authority, other than the Federal Energy Regulatory Commission, should have a role in selecting the new ISO Board.  The ISO operates that portion of the FERC-jurisdictional interstate transmission system that is located in California.  Hence, the decisions of the ISO Board relate to FERC-jurisdictional matters, not state-regulated retail sales or local distribution.  Since, be definition, the mandate of state and local governmental bodies is to protect state and local interests, they should thus not be allowed to control of affect ISO decisions.  FERC, on the other hand, is statutorily charged by Congress to protect and promote the </w:t>
      </w:r>
      <w:r>
        <w:rPr>
          <w:i/>
        </w:rPr>
        <w:t>national</w:t>
      </w:r>
      <w:r>
        <w:rPr/>
        <w:t xml:space="preserve"> public interest, which includes the nation's broader interests that are served through a vigorous and competitive interstate bulk power industry.</w:t>
      </w:r>
      <w:r>
        <w:rPr>
          <w:rStyle w:val="FootnoteCharacters"/>
          <w:rStyle w:val="FootnoteReference"/>
          <w:vertAlign w:val="superscript"/>
        </w:rPr>
        <w:footnoteReference w:id="13"/>
      </w:r>
      <w:r>
        <w:rPr>
          <w:vertAlign w:val="superscript"/>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 public's interest in a fully functioning interstate electricity market in California is, however, presently being compromised by the control that California governmental bodies (in particular, the California Electricity Oversight Board ("Oversight Board")) exercises over the ISO.  This is equally if not more true for interstate markets throughout the Western Region outside of California as it is with regard to interstate markets inside of California.  As the Commission observed in its November 1, 2000 order in this proceeding, "California is not an electrical island . . . [but is] part of the much larger Western Interconnection."</w:t>
      </w:r>
      <w:r>
        <w:rPr>
          <w:rStyle w:val="FootnoteCharacters"/>
          <w:rStyle w:val="FootnoteReference"/>
          <w:vertAlign w:val="superscript"/>
        </w:rPr>
        <w:footnoteReference w:id="14"/>
      </w:r>
      <w:r>
        <w:rPr>
          <w:vertAlign w:val="superscript"/>
        </w:rPr>
        <w:t xml:space="preserve"> </w:t>
      </w:r>
      <w:r>
        <w:rPr/>
        <w:t xml:space="preserve"> For these reasons, allowing state authorities to control or affect the decisions of the California ISO will necessarily lead to outcomes that do not in all instances take into account national interests and in some respects are in conflict with them.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This is shown by the high-profile threats last summer of certain California politicians, through control over the Oversight Board, not to confirm (or reconfirm) candidates for the ISO Board that did not vote to lower the price cap to the level that the California officials thought appropriate.  These threats were fulfilled when the Oversight Board voted at its August 31, 2000 public meeting not to confirm thirteen ISO and PX Board members that represent various end-user and public interest classes.  The Oversight Board's Chairman, Michael A. Kahn, stated that these representatives were rejected because, in the Oversight Board's view, neither the ISO nor the PX "have taken sufficient actions to protect the California Consumers."</w:t>
      </w:r>
      <w:r>
        <w:rPr>
          <w:rStyle w:val="FootnoteCharacters"/>
          <w:rStyle w:val="FootnoteReference"/>
          <w:vertAlign w:val="superscript"/>
        </w:rPr>
        <w:footnoteReference w:id="15"/>
      </w:r>
      <w:r>
        <w:rPr>
          <w:vertAlign w:val="superscript"/>
        </w:rPr>
        <w:t xml:space="preserve"> </w:t>
      </w:r>
      <w:r>
        <w:rPr/>
        <w:t xml:space="preserve"> The "sufficient actions" to which Mr. Kahn referred were the refusal of some Board members to lower the price cap to the level preferred by the Oversight 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The Oversight Board's refusal to seat these individuals for these reasons is based on a view that this Commission rejected in the November 1 Order.  Contrary to the Oversight Board's belief that the best way to deal with the current crisis in California's electricity markets is to lower the hard price cap to below-market levels, the Commission concluded that hard price caps were not in the public interest.  Rather, the Commission found that the real solution was to overhaul the market design in California so that, among other things, a forwards market could be allowed to develop.  Not so ironically, many of the market flaws discussed by the Commission in the November 1 Order were created by the same governmental bodies that the Commission is now suggesting may be allowed to help select future ISO Board members.  To date, however, these same governmental officials refuse to accept responsibility for what they created in California, but instead attempt to find scapegoats in this Commission and market participants that played by the rules and acted in economically rational ways.  Further, many of these same California officials are resisting the steps that the Commission has ordered to be taken to fix those aspects of the California market over which the Commission has jurisdiction.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is but one example of how California's mandate to protect local interests without regard to national considerations can collide with the national public interest protected by FERC.  It would thus be unreasonable to allow such officials to perform any role in ISO governance, including the process of selecting members for the ISO Board.  This prohibition must necessarily extend to members of the ISO Board hand-picked by the Oversight Board as well as to the governmental agencies that are represented on the current Board.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4.</w:t>
        <w:tab/>
        <w:t>If the Commission were to order refund of excessive rates as a matter of law or equity, how would we determine the excess in a market-based rate environment?  What would be the just and reasonable rate?  For what period would the determination of overcharges apply?  Who would be responsible for refunding overcharges? (All panelists)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As we stated in our November 22 comments, we concur with the Commission's finding that the Commission is without authority under Section 206 of the Federal Power Act to order retroactive refunds.  As we also discussed, it would also be unlawful and in violation of the filed rate doctrine for the Commission to order refunds of market-based rates that were developed and charged consistent with the market rules established under the ISO's and PX's tariff.</w:t>
      </w:r>
      <w:r>
        <w:rPr>
          <w:rStyle w:val="FootnoteCharacters"/>
          <w:rStyle w:val="FootnoteReference"/>
          <w:vertAlign w:val="superscript"/>
        </w:rPr>
        <w:footnoteReference w:id="16"/>
      </w:r>
      <w:r>
        <w:rPr/>
        <w:t xml:space="preserve">  At all times, Enron complied with the market rules in effect and charged the filed rate.  The inviolability of the filed rate doctrine is not somehow rendered nugatory by "equitable" principles.  The rates charged by Enron prior to October 2, 2000 were thus </w:t>
      </w:r>
      <w:r>
        <w:rPr>
          <w:i/>
        </w:rPr>
        <w:t>per se</w:t>
      </w:r>
      <w:r>
        <w:rPr/>
        <w:t xml:space="preserve"> just and reasonable under the Federal Power Act.  For these reasons, we submit that there is no possible basis for the Commission to order refunds for any period prior to October 2, 2000.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Enron urges the Commission to find expressly in its final order that the charges that Enron assessed during the summer of 2000 pursuant to the market-based rate authority granted to it by this Commission were, </w:t>
      </w:r>
      <w:r>
        <w:rPr>
          <w:i/>
        </w:rPr>
        <w:t>ipso facto</w:t>
      </w:r>
      <w:r>
        <w:rPr/>
        <w:t>, just and reasonable.  Such a finding may be necessary to avoid unnecessary, unfounded and ultimately unfruitful litigation that will serve only to harm the market during the course of the litigation.  Developers of needed new generation will be unlikely to invest in California until they can determine whether the legal and regulatory environment in the state will be hostile to their entrepreneurial interests.  The delay that this will cause on the development of new generation would be directly contrary to what is required to fix California's long-term problems, as the Commission has found.</w:t>
      </w:r>
      <w:r>
        <w:rPr>
          <w:rStyle w:val="FootnoteCharacters"/>
          <w:rStyle w:val="FootnoteReference"/>
          <w:vertAlign w:val="superscript"/>
        </w:rPr>
        <w:footnoteReference w:id="17"/>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p>
    <w:p>
      <w:pPr>
        <w:sectPr>
          <w:footnotePr>
            <w:numFmt w:val="decimal"/>
          </w:footnotePr>
          <w:type w:val="continuous"/>
          <w:pgSz w:w="12240" w:h="15840"/>
          <w:pgMar w:left="1440" w:right="1440" w:gutter="0" w:header="0" w:top="1440" w:footer="0" w:bottom="864"/>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With regard to rates charged during the period subsequent to October 2, 2000 (that have already been made subject to refund), Enron believes, as we discussed in our November 22 Comments, that the Commission should establish a hard cap "safe harbor" in excess of $150 per MWh, and that sellers will have the assurance that there will be no refunds for charges below the safe harbor.</w:t>
      </w:r>
      <w:r>
        <w:rPr>
          <w:rStyle w:val="FootnoteCharacters"/>
          <w:rStyle w:val="FootnoteReference"/>
          <w:vertAlign w:val="superscript"/>
        </w:rPr>
        <w:footnoteReference w:id="18"/>
      </w:r>
      <w:r>
        <w:rPr/>
        <w:t xml:space="preserve">  This assurance is critical if developers, who are free to invest their limited capital budgets in environments around the country and overseas that are friendly to entrepreneurial interests, will be willing to invest in California.  As for prices charged in excess of the safe harbor level, no refunds should be required for sales at or below the higher of marginal or opportunity costs.  Opportunity costs should be defined as the price that could be charged by a marketer in the highest priced alternative Western market plus transmission, ancillary services, and losses to get the power to California.</w:t>
      </w:r>
      <w:r>
        <w:rPr>
          <w:rStyle w:val="FootnoteCharacters"/>
          <w:rStyle w:val="FootnoteReference"/>
          <w:vertAlign w:val="superscript"/>
        </w:rPr>
        <w:footnoteReference w:id="19"/>
      </w:r>
      <w:r>
        <w:rPr/>
        <w:t xml:space="preserve">  If sellers cannot receive opportunity prices inside of California, they obviously will pursue opportunities to do so outside of the state.  This will depress liquidity in California and lead to shortages that the ISO will be compelled to satisfy by resorting to extremely expensive out-of-market purchases.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In short, there is no substitute for a fully functioning competitive market.  The notion of potential refunds runs counter to this solution to the extent it chills the development of the market solutions that the Commission has already identified.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5.</w:t>
        <w:tab/>
        <w:t>Some suppliers suggest that prices be monitored on a continual basis and flagged if they are subject to further review and potential refund.  Prices that are not flagged would be deemed final and not subject to refund.  How would this work? (AES, Calpine, Duke Energy, Dynegy, Enron, Independent Energy Producers, Reliant Energy, Western Power Trading Forum, Williams Energy)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As we discussed above, Enron believes that the potential for refunds should be applicable only to sales above the safe harbor hard cap and only with regard to the ISO's and PX's short-term markets. In our view, the safe harbor mechanism is far preferable to the use of a "flag" since it provides sellers with the required certainty that their market-based revenues will not be eroded by after-the-fact regulatory second guessing.  Sellers are subject to market forces and can and do lose money if their assessment of the market turns out to be incorrect and they have not taken adequate measures to manage their risk.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6.</w:t>
        <w:tab/>
        <w:t>Some suppliers point out that peaking units are used rarely and have very high costs. How do we structure market rules so that these generators can recover their costs, but prices of all generation are not inflated to the same level. (All panelists)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Chairman Hoecker's recognition of the problems that a price cap would impose on peaking units highlights the systemic inadequacies with a regime that believes it can tame the market through increasingly complex rules and regulations.  Spot markets, by definition, are and should be allowed to remain unconstrained.  It is also necessary for scarcity rents to raise prices in order to inform the market when it becomes prudent to invest in additional capacity.  In addition, spot prices for a perishable commodity like electricity are by definition volatile.  There are times when spot prices will be "inflated," as suggested by the question, and there will be other times when prices will be deflated, as was the case this past summer in PJM, as the Commission noted in the November 1 Order, 93 FERC at 61,359 n.44 ("[B]ecause of cooler than expected weather in the east,  buyers in PJM that may have locked in prices in forward markets, based on the best information at the time of their decision, ultimately paid more for energy than the price that was available in the spot markets.").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In lieu of complex soft caps, the Commission should focus on its recognition that the key issue is price risk management.  The solution to California's problems does not lie in trying to design the perfect market by moving to a pay-as-bid auction versus second-price auctions or by allowing some generation resources to charge cost-of-service rates or rates subject to price caps that differ by resource type.  Experience shows that this type of micro-managing and fine-tuning will in the long-run lead to unintended consequences, structural defects and a proliferation of opportunities for gaming that will harm the market and consumers in California and throughout the West.  The real solution to California's problem of inflated prices is the immediate development of </w:t>
      </w:r>
      <w:r>
        <w:rPr>
          <w:i/>
        </w:rPr>
        <w:t xml:space="preserve">forward contracting </w:t>
      </w:r>
      <w:r>
        <w:rPr/>
        <w:t>by California investor-owned utilities on behalf of their retail customers</w:t>
      </w:r>
      <w:r>
        <w:rPr>
          <w:i/>
        </w:rPr>
        <w:t>.</w:t>
      </w:r>
      <w:r>
        <w:rPr/>
        <w:t xml:space="preserve">  </w:t>
      </w:r>
      <w:r>
        <w:rPr>
          <w:i/>
        </w:rPr>
        <w:t xml:space="preserve"> See Comnes Affidavit</w:t>
      </w:r>
      <w:r>
        <w:rPr/>
        <w:t xml:space="preserve"> at 19-20.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Enron cannot stress strongly enough the need for the California IOUs and California regulators to take action.  Conditions in electricity spot markets have only become grimmer for consumers since the Commission's November 1 Order.  Gas prices and unit outages have contributed to historically high spot prices in the west during what is usually an off-peak, lower-priced season.  Yet, California's IOUs continue to buy heavily in spot markets and underutilize forward markets.  This inaction is not due to a lack of supply for term power </w:t>
      </w:r>
      <w:r>
        <w:rPr>
          <w:rFonts w:cs="WP TypographicSymbols" w:ascii="WP TypographicSymbols" w:hAnsi="WP TypographicSymbols"/>
        </w:rPr>
        <w:t>B</w:t>
      </w:r>
      <w:r>
        <w:rPr/>
        <w:t xml:space="preserve"> the forward market is highly liquid. </w:t>
      </w:r>
      <w:r>
        <w:rPr>
          <w:i/>
        </w:rPr>
        <w:t xml:space="preserve"> See Comnes Affidavit</w:t>
      </w:r>
      <w:r>
        <w:rPr/>
        <w:t xml:space="preserve"> at 19.  Duke Energy's recent proposal to manage SDG&amp;E</w:t>
      </w:r>
      <w:r>
        <w:rPr>
          <w:rFonts w:cs="WP TypographicSymbols" w:ascii="WP TypographicSymbols" w:hAnsi="WP TypographicSymbols"/>
        </w:rPr>
        <w:t>=</w:t>
      </w:r>
      <w:r>
        <w:rPr/>
        <w:t>s 3,300 MW of retail load at a fixed price is only one such proposal.</w:t>
      </w:r>
      <w:r>
        <w:rPr>
          <w:rStyle w:val="FootnoteCharacters"/>
          <w:rStyle w:val="FootnoteReference"/>
          <w:vertAlign w:val="superscript"/>
        </w:rPr>
        <w:footnoteReference w:id="20"/>
      </w:r>
      <w:r>
        <w:rPr/>
        <w:t xml:space="preserve">  Bilateral, forward contracts, which are priced significantly below the current spot price of power, provide real rate relief to consumers.  Creative contracting solutions provide rate relief and do not jeopardize reliability, unlike the more draconian alternatives of price caps and cost-of-service regulation.  The inability of the IOUs to take action is due to the lack of clear guidance on the part of California regulators to accept market-based forward contracts as being reasonable and recoverable in rates.  It is precisely because California legislators and regulators are not taking action to rectify the market flaws that it created that the Commission must rectify the market flaws that California created and which are presently causing severe harm to California's  consumers.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134802</w:t>
      </w:r>
    </w:p>
    <w:sectPr>
      <w:footnotePr>
        <w:numFmt w:val="decimal"/>
      </w:footnotePr>
      <w:type w:val="continuous"/>
      <w:pgSz w:w="12240" w:h="15840"/>
      <w:pgMar w:left="1440" w:right="1440" w:gutter="0" w:header="0" w:top="1440" w:footer="0" w:bottom="86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jc w:val="both"/>
        <w:rPr/>
      </w:pPr>
      <w:r>
        <w:rPr>
          <w:rStyle w:val="FootnoteCharacters"/>
        </w:rPr>
        <w:footnoteRef/>
      </w:r>
      <w:r>
        <w:rPr>
          <w:sz w:val="22"/>
        </w:rPr>
        <w:t xml:space="preserve"> </w:t>
      </w:r>
      <w:r>
        <w:rPr>
          <w:i/>
          <w:sz w:val="22"/>
        </w:rPr>
        <w:t>See Regional Transmission Organizations</w:t>
      </w:r>
      <w:r>
        <w:rPr>
          <w:sz w:val="22"/>
        </w:rPr>
        <w:t xml:space="preserve">, Order No. 2000, [1996 - 2000 Regs. Preambles] III FERC Stats. &amp; Regs. </w:t>
      </w:r>
      <w:r>
        <w:rPr>
          <w:rFonts w:cs="WP TypographicSymbols" w:ascii="WP TypographicSymbols" w:hAnsi="WP TypographicSymbols"/>
          <w:sz w:val="22"/>
        </w:rPr>
        <w:t>&amp;</w:t>
      </w:r>
      <w:r>
        <w:rPr>
          <w:sz w:val="22"/>
        </w:rPr>
        <w:t xml:space="preserve"> 31,089 at 31,044 (2000), </w:t>
      </w:r>
      <w:r>
        <w:rPr>
          <w:i/>
          <w:sz w:val="22"/>
        </w:rPr>
        <w:t>order on reh'g</w:t>
      </w:r>
      <w:r>
        <w:rPr>
          <w:sz w:val="22"/>
        </w:rPr>
        <w:t xml:space="preserve">, Order No. 2000-A, III FERC Stats. &amp; Regs. </w:t>
      </w:r>
      <w:r>
        <w:rPr>
          <w:rFonts w:cs="WP TypographicSymbols" w:ascii="WP TypographicSymbols" w:hAnsi="WP TypographicSymbols"/>
          <w:sz w:val="22"/>
        </w:rPr>
        <w:t>&amp;</w:t>
      </w:r>
      <w:r>
        <w:rPr>
          <w:sz w:val="22"/>
        </w:rPr>
        <w:t xml:space="preserve"> 31,092 (2000), </w:t>
      </w:r>
      <w:r>
        <w:rPr>
          <w:i/>
          <w:sz w:val="22"/>
        </w:rPr>
        <w:t>appeal docketed sub nom. Public Utility District No. 1 of  Snohomish County, Washington v. FERC</w:t>
      </w:r>
      <w:r>
        <w:rPr>
          <w:sz w:val="22"/>
        </w:rPr>
        <w:t xml:space="preserve">, Nos. 00-1174, </w:t>
      </w:r>
      <w:r>
        <w:rPr>
          <w:i/>
          <w:sz w:val="22"/>
        </w:rPr>
        <w:t>et al</w:t>
      </w:r>
      <w:r>
        <w:rPr>
          <w:sz w:val="22"/>
        </w:rPr>
        <w:t>., (D.C. Cir. April 24, 2000) ("The Commission has a responsibility under FPA Sections 205 and 206 to ensure that rates for wholesale power sales are just and reasonable, and has found that market-based rates can be just and reasonable where the seller has no market power.").  Despite the fact that the "price above cost" analysis is an legal inappropriate standard, some parties continue to use it as the basis for their claims of market power and, by extension, claims that sellers' prices in excess of that standard are unjust and unreasonable prices.  In Attachment 1, we discuss the conceptual and methodological flaws underlying one of the principal studies in this regard, namely, the study prepared by Paul Joskow and Edward P. Kahn, "</w:t>
      </w:r>
      <w:r>
        <w:rPr>
          <w:i/>
          <w:sz w:val="22"/>
        </w:rPr>
        <w:t>A Quantitative Analysis of Pricing Behavior In California</w:t>
      </w:r>
      <w:r>
        <w:rPr>
          <w:rFonts w:cs="WP TypographicSymbols" w:ascii="WP TypographicSymbols" w:hAnsi="WP TypographicSymbols"/>
          <w:i/>
          <w:sz w:val="22"/>
        </w:rPr>
        <w:t>=</w:t>
      </w:r>
      <w:r>
        <w:rPr>
          <w:i/>
          <w:sz w:val="22"/>
        </w:rPr>
        <w:t>s Wholesale Electricity Market During Summer 2000</w:t>
      </w:r>
      <w:r>
        <w:rPr>
          <w:sz w:val="22"/>
        </w:rPr>
        <w:t>," appended to the comments of Southern California Edison Company, who inaccurately contend that market power existed in the California market last summer simply because prices at certain times were in excess of costs.</w:t>
      </w:r>
    </w:p>
  </w:footnote>
  <w:footnote w:id="3">
    <w:p>
      <w:pPr>
        <w:pStyle w:val="Normal"/>
        <w:spacing w:before="0" w:after="240"/>
        <w:ind w:firstLine="720" w:end="0"/>
        <w:jc w:val="both"/>
        <w:rPr/>
      </w:pPr>
      <w:r>
        <w:rPr>
          <w:rStyle w:val="FootnoteCharacters"/>
        </w:rPr>
        <w:footnoteRef/>
      </w:r>
      <w:r>
        <w:rPr>
          <w:sz w:val="22"/>
        </w:rPr>
        <w:t xml:space="preserve"> </w:t>
      </w:r>
      <w:r>
        <w:rPr>
          <w:i/>
          <w:sz w:val="22"/>
        </w:rPr>
        <w:t xml:space="preserve">See Affidavit of G. Alan Comnes </w:t>
      </w:r>
      <w:r>
        <w:rPr>
          <w:sz w:val="22"/>
        </w:rPr>
        <w:t>at 4-6 ("</w:t>
      </w:r>
      <w:r>
        <w:rPr>
          <w:i/>
          <w:sz w:val="22"/>
        </w:rPr>
        <w:t>Comnes Affidavit</w:t>
      </w:r>
      <w:r>
        <w:rPr>
          <w:sz w:val="22"/>
        </w:rPr>
        <w:t xml:space="preserve">") appended in Attachment B to </w:t>
      </w:r>
      <w:r>
        <w:rPr>
          <w:i/>
          <w:sz w:val="22"/>
        </w:rPr>
        <w:t>Enron's Comments</w:t>
      </w:r>
      <w:r>
        <w:rPr>
          <w:sz w:val="22"/>
        </w:rPr>
        <w:t xml:space="preserve">. </w:t>
      </w:r>
    </w:p>
  </w:footnote>
  <w:footnote w:id="4">
    <w:p>
      <w:pPr>
        <w:pStyle w:val="Normal"/>
        <w:spacing w:before="0" w:after="240"/>
        <w:ind w:firstLine="720" w:end="0"/>
        <w:jc w:val="both"/>
        <w:rPr/>
      </w:pPr>
      <w:r>
        <w:rPr>
          <w:rStyle w:val="FootnoteCharacters"/>
        </w:rPr>
        <w:footnoteRef/>
      </w:r>
      <w:r>
        <w:rPr/>
        <w:t xml:space="preserve"> </w:t>
      </w:r>
      <w:r>
        <w:rPr>
          <w:sz w:val="22"/>
        </w:rPr>
        <w:t>California PX Compliance Unit, "</w:t>
      </w:r>
      <w:r>
        <w:rPr>
          <w:i/>
          <w:sz w:val="22"/>
        </w:rPr>
        <w:t>Price Movements in California Power Exchange Markets: Analysis of Price Activity: May-September 2000,</w:t>
      </w:r>
      <w:r>
        <w:rPr>
          <w:sz w:val="22"/>
        </w:rPr>
        <w:t>" at 42, November 1, 2000.</w:t>
      </w:r>
    </w:p>
  </w:footnote>
  <w:footnote w:id="5">
    <w:p>
      <w:pPr>
        <w:pStyle w:val="Normal"/>
        <w:spacing w:before="0" w:after="240"/>
        <w:ind w:firstLine="720" w:end="0"/>
        <w:jc w:val="both"/>
        <w:rPr/>
      </w:pPr>
      <w:r>
        <w:rPr>
          <w:rStyle w:val="FootnoteCharacters"/>
        </w:rPr>
        <w:footnoteRef/>
      </w:r>
      <w:r>
        <w:rPr>
          <w:sz w:val="22"/>
        </w:rPr>
        <w:t xml:space="preserve"> </w:t>
      </w:r>
      <w:r>
        <w:rPr>
          <w:i/>
          <w:sz w:val="22"/>
        </w:rPr>
        <w:t xml:space="preserve">See also Comnes Affidavit </w:t>
      </w:r>
      <w:r>
        <w:rPr>
          <w:sz w:val="22"/>
        </w:rPr>
        <w:t xml:space="preserve">at 11-16 (documenting the current cost of building a peaking resource in California). </w:t>
      </w:r>
    </w:p>
  </w:footnote>
  <w:footnote w:id="6">
    <w:p>
      <w:pPr>
        <w:pStyle w:val="Normal"/>
        <w:spacing w:before="0" w:after="240"/>
        <w:ind w:firstLine="720" w:end="0"/>
        <w:jc w:val="both"/>
        <w:rPr/>
      </w:pPr>
      <w:r>
        <w:rPr>
          <w:rStyle w:val="FootnoteCharacters"/>
        </w:rPr>
        <w:footnoteRef/>
      </w:r>
      <w:r>
        <w:rPr/>
        <w:t xml:space="preserve"> </w:t>
      </w:r>
      <w:r>
        <w:rPr>
          <w:sz w:val="22"/>
        </w:rPr>
        <w:t xml:space="preserve">Nor is there in fact any principled correlation between earnings and just and reasonable rates.  Unlike regulated utilities like the Investor-Owned Utilities ("IOU") in California that have cost based rates (with equity adder) and captive customers, sellers with market based rate authority have no guarantee that they will turn a profit or recover their costs, particularly in fledgling markets like California's.  There may be periods when the market turns against them and they have negative earnings.  As we pointed out in our November 22 Comments, </w:t>
      </w:r>
      <w:r>
        <w:rPr>
          <w:i/>
          <w:sz w:val="22"/>
        </w:rPr>
        <w:t>Enron Comments</w:t>
      </w:r>
      <w:r>
        <w:rPr>
          <w:sz w:val="22"/>
        </w:rPr>
        <w:t xml:space="preserve"> at 19, </w:t>
      </w:r>
      <w:r>
        <w:rPr>
          <w:i/>
          <w:sz w:val="22"/>
        </w:rPr>
        <w:t>et seq.</w:t>
      </w:r>
      <w:r>
        <w:rPr>
          <w:sz w:val="22"/>
        </w:rPr>
        <w:t xml:space="preserve">, it would be inequitable to impose one-way refunds </w:t>
      </w:r>
      <w:r>
        <w:rPr>
          <w:rFonts w:cs="WP TypographicSymbols" w:ascii="WP TypographicSymbols" w:hAnsi="WP TypographicSymbols"/>
          <w:sz w:val="22"/>
        </w:rPr>
        <w:t>B</w:t>
      </w:r>
      <w:r>
        <w:rPr>
          <w:sz w:val="22"/>
        </w:rPr>
        <w:t xml:space="preserve"> requiring sellers to disgorge profits during good years, but not allow them to surcharge customers for their losses during bad years.</w:t>
      </w:r>
    </w:p>
  </w:footnote>
  <w:footnote w:id="7">
    <w:p>
      <w:pPr>
        <w:pStyle w:val="Normal"/>
        <w:spacing w:before="0" w:after="240"/>
        <w:ind w:firstLine="720" w:end="0"/>
        <w:jc w:val="both"/>
        <w:rPr/>
      </w:pPr>
      <w:r>
        <w:rPr>
          <w:rStyle w:val="FootnoteCharacters"/>
        </w:rPr>
        <w:footnoteRef/>
      </w:r>
      <w:r>
        <w:rPr>
          <w:sz w:val="22"/>
        </w:rPr>
        <w:t xml:space="preserve">  </w:t>
      </w:r>
      <w:r>
        <w:rPr>
          <w:i/>
          <w:sz w:val="22"/>
        </w:rPr>
        <w:t>Arkansas Louisiana Gas Co. v. Hall</w:t>
      </w:r>
      <w:r>
        <w:rPr>
          <w:sz w:val="22"/>
        </w:rPr>
        <w:t>, 453 U.S. 571, 577-78 (1981).</w:t>
      </w:r>
    </w:p>
  </w:footnote>
  <w:footnote w:id="8">
    <w:p>
      <w:pPr>
        <w:pStyle w:val="Normal"/>
        <w:spacing w:before="0" w:after="240"/>
        <w:ind w:firstLine="720" w:end="0"/>
        <w:jc w:val="both"/>
        <w:rPr/>
      </w:pPr>
      <w:r>
        <w:rPr>
          <w:rStyle w:val="FootnoteCharacters"/>
        </w:rPr>
        <w:footnoteRef/>
      </w:r>
      <w:r>
        <w:rPr>
          <w:i/>
          <w:sz w:val="22"/>
        </w:rPr>
        <w:t xml:space="preserve"> </w:t>
      </w:r>
      <w:r>
        <w:rPr>
          <w:i/>
          <w:sz w:val="22"/>
        </w:rPr>
        <w:t>Transwestern Pipeline Co. v. FERC</w:t>
      </w:r>
      <w:r>
        <w:rPr>
          <w:sz w:val="22"/>
        </w:rPr>
        <w:t xml:space="preserve">, 897 F.2d 570, 577-79 (D.C. Cir. 1990). </w:t>
      </w:r>
    </w:p>
  </w:footnote>
  <w:footnote w:id="9">
    <w:p>
      <w:pPr>
        <w:pStyle w:val="Normal"/>
        <w:spacing w:before="0" w:after="240"/>
        <w:ind w:firstLine="720" w:end="0"/>
        <w:jc w:val="both"/>
        <w:rPr/>
      </w:pPr>
      <w:r>
        <w:rPr>
          <w:rStyle w:val="FootnoteCharacters"/>
        </w:rPr>
        <w:footnoteRef/>
      </w:r>
      <w:r>
        <w:rPr>
          <w:sz w:val="22"/>
        </w:rPr>
        <w:t xml:space="preserve"> </w:t>
      </w:r>
      <w:r>
        <w:rPr>
          <w:sz w:val="22"/>
        </w:rPr>
        <w:t xml:space="preserve">Enron's market based rate authority was based on the traditional hub-and-spoke analysis that the Commission typically employs when assessing requests for market-based rate authority.  As Commissioner Massey recently noted, </w:t>
      </w:r>
      <w:r>
        <w:rPr>
          <w:i/>
          <w:sz w:val="22"/>
        </w:rPr>
        <w:t>see Sithe Edgar LLC, et al.,</w:t>
      </w:r>
      <w:r>
        <w:rPr>
          <w:sz w:val="22"/>
        </w:rPr>
        <w:t xml:space="preserve"> 93 FERC </w:t>
      </w:r>
      <w:r>
        <w:rPr>
          <w:rFonts w:cs="WP TypographicSymbols" w:ascii="WP TypographicSymbols" w:hAnsi="WP TypographicSymbols"/>
          <w:sz w:val="22"/>
        </w:rPr>
        <w:t>&amp;</w:t>
      </w:r>
      <w:r>
        <w:rPr>
          <w:sz w:val="22"/>
        </w:rPr>
        <w:t xml:space="preserve"> 61,193 (2000), </w:t>
      </w:r>
      <w:r>
        <w:rPr>
          <w:i/>
          <w:sz w:val="22"/>
        </w:rPr>
        <w:t>mimeo</w:t>
      </w:r>
      <w:r>
        <w:rPr>
          <w:sz w:val="22"/>
        </w:rPr>
        <w:t xml:space="preserve"> at 2 (concurring), this analysis "focuses solely on the market share of the individual seller instead of the conditions in the market."  While Commissioner Massey urges that a more rigorous analysis be used in the future, the hub-and-spoke standard (not some higher standard) establishes the degree of permissible market concentration related to whether Enron's market-based rates last summer were just and reasonable.</w:t>
      </w:r>
    </w:p>
  </w:footnote>
  <w:footnote w:id="10">
    <w:p>
      <w:pPr>
        <w:pStyle w:val="Normal"/>
        <w:spacing w:before="0" w:after="240"/>
        <w:ind w:firstLine="720" w:end="0"/>
        <w:jc w:val="both"/>
        <w:rPr/>
      </w:pPr>
      <w:r>
        <w:rPr>
          <w:rStyle w:val="FootnoteCharacters"/>
        </w:rPr>
        <w:footnoteRef/>
      </w:r>
      <w:r>
        <w:rPr/>
        <w:t xml:space="preserve"> </w:t>
      </w:r>
      <w:r>
        <w:rPr>
          <w:i/>
          <w:sz w:val="22"/>
        </w:rPr>
        <w:t>New England Power Pool</w:t>
      </w:r>
      <w:r>
        <w:rPr>
          <w:sz w:val="22"/>
        </w:rPr>
        <w:t xml:space="preserve">, 90 FERC </w:t>
      </w:r>
      <w:r>
        <w:rPr>
          <w:rFonts w:cs="WP TypographicSymbols" w:ascii="WP TypographicSymbols" w:hAnsi="WP TypographicSymbols"/>
          <w:sz w:val="22"/>
        </w:rPr>
        <w:t>&amp;</w:t>
      </w:r>
      <w:r>
        <w:rPr>
          <w:sz w:val="22"/>
        </w:rPr>
        <w:t xml:space="preserve"> 61,141 at 61,425 (2000) (consistent with the filed rate doctrine, the NEPOOL market rules are the filed rate). </w:t>
      </w:r>
    </w:p>
  </w:footnote>
  <w:footnote w:id="11">
    <w:p>
      <w:pPr>
        <w:pStyle w:val="Normal"/>
        <w:spacing w:before="0" w:after="240"/>
        <w:ind w:firstLine="720" w:end="0"/>
        <w:jc w:val="both"/>
        <w:rPr/>
      </w:pPr>
      <w:r>
        <w:rPr>
          <w:rStyle w:val="FootnoteCharacters"/>
        </w:rPr>
        <w:footnoteRef/>
      </w:r>
      <w:r>
        <w:rPr>
          <w:sz w:val="22"/>
        </w:rPr>
        <w:t xml:space="preserve"> </w:t>
      </w:r>
      <w:r>
        <w:rPr>
          <w:sz w:val="22"/>
        </w:rPr>
        <w:t>The San Diego County Board of Supervisor's claim that the filed rate doctrine does not preclude the Commission from ordering retroactive refunds on the ground that the customers in the California market had a reasonable expectation that the market would produce just and reasonable rates.  However, those claims rely upon cases in which the utility charged stated rates,  not formula or market-based rates.  The authority upon which San Diego relies is thus inapplicable here.</w:t>
      </w:r>
    </w:p>
  </w:footnote>
  <w:footnote w:id="12">
    <w:p>
      <w:pPr>
        <w:pStyle w:val="Normal"/>
        <w:spacing w:before="0" w:after="240"/>
        <w:ind w:firstLine="720" w:end="0"/>
        <w:jc w:val="both"/>
        <w:rPr/>
      </w:pPr>
      <w:r>
        <w:rPr>
          <w:rStyle w:val="FootnoteCharacters"/>
        </w:rPr>
        <w:footnoteRef/>
      </w:r>
      <w:r>
        <w:rPr/>
        <w:t xml:space="preserve"> </w:t>
      </w:r>
      <w:r>
        <w:rPr>
          <w:i/>
          <w:sz w:val="22"/>
        </w:rPr>
        <w:t>See New York Independent System Operator Inc.</w:t>
      </w:r>
      <w:r>
        <w:rPr>
          <w:sz w:val="22"/>
        </w:rPr>
        <w:t xml:space="preserve">, 89 FERC </w:t>
      </w:r>
      <w:r>
        <w:rPr>
          <w:rFonts w:cs="WP TypographicSymbols" w:ascii="WP TypographicSymbols" w:hAnsi="WP TypographicSymbols"/>
          <w:sz w:val="22"/>
        </w:rPr>
        <w:t>&amp;</w:t>
      </w:r>
      <w:r>
        <w:rPr>
          <w:sz w:val="22"/>
        </w:rPr>
        <w:t xml:space="preserve"> 61,196, at 61,605 (1999) (The ISO's tariff "has not described with enough specificity the types of conduct that would trigger the imposition of these measures. . . . The ISO has not established specific thresholds or bright line tests that would trigger the conclusions that market power has been exercised").</w:t>
      </w:r>
    </w:p>
  </w:footnote>
  <w:footnote w:id="13">
    <w:p>
      <w:pPr>
        <w:pStyle w:val="Normal"/>
        <w:spacing w:before="0" w:after="240"/>
        <w:ind w:firstLine="720" w:end="0"/>
        <w:jc w:val="both"/>
        <w:rPr/>
      </w:pPr>
      <w:r>
        <w:rPr>
          <w:rStyle w:val="FootnoteCharacters"/>
        </w:rPr>
        <w:footnoteRef/>
      </w:r>
      <w:r>
        <w:rPr/>
        <w:t xml:space="preserve"> </w:t>
      </w:r>
      <w:r>
        <w:rPr>
          <w:i/>
          <w:sz w:val="22"/>
        </w:rPr>
        <w:t>See Appalachian Power Co. v. PSC of West Virginia</w:t>
      </w:r>
      <w:r>
        <w:rPr>
          <w:sz w:val="22"/>
        </w:rPr>
        <w:t xml:space="preserve">, 812 F.2d 898, 904-05 (4th Cir. 1987) ("The public interest thus protected [by the FPA] is, of course, national in scope.  The history of the FPA underlines the importance of the broad scope of the public interest the legislation seeks to protect.").  </w:t>
      </w:r>
    </w:p>
  </w:footnote>
  <w:footnote w:id="14">
    <w:p>
      <w:pPr>
        <w:pStyle w:val="Normal"/>
        <w:spacing w:before="0" w:after="240"/>
        <w:ind w:firstLine="720" w:end="0"/>
        <w:jc w:val="both"/>
        <w:rPr/>
      </w:pPr>
      <w:r>
        <w:rPr>
          <w:rStyle w:val="FootnoteCharacters"/>
        </w:rPr>
        <w:footnoteRef/>
      </w:r>
      <w:r>
        <w:rPr/>
        <w:t xml:space="preserve"> </w:t>
      </w:r>
      <w:r>
        <w:rPr>
          <w:sz w:val="22"/>
        </w:rPr>
        <w:t xml:space="preserve"> </w:t>
      </w:r>
      <w:r>
        <w:rPr>
          <w:i/>
          <w:sz w:val="22"/>
        </w:rPr>
        <w:t>November 1 Order</w:t>
      </w:r>
      <w:r>
        <w:rPr>
          <w:sz w:val="22"/>
        </w:rPr>
        <w:t xml:space="preserve">, 93 FERC </w:t>
      </w:r>
      <w:r>
        <w:rPr>
          <w:rFonts w:cs="WP TypographicSymbols" w:ascii="WP TypographicSymbols" w:hAnsi="WP TypographicSymbols"/>
          <w:sz w:val="22"/>
        </w:rPr>
        <w:t>&amp;</w:t>
      </w:r>
      <w:r>
        <w:rPr>
          <w:sz w:val="22"/>
        </w:rPr>
        <w:t> 61,121 at 61,357 (footnote omitted).</w:t>
      </w:r>
    </w:p>
  </w:footnote>
  <w:footnote w:id="15">
    <w:p>
      <w:pPr>
        <w:pStyle w:val="Normal"/>
        <w:spacing w:before="0" w:after="240"/>
        <w:ind w:firstLine="720" w:end="0"/>
        <w:jc w:val="both"/>
        <w:rPr/>
      </w:pPr>
      <w:r>
        <w:rPr>
          <w:rStyle w:val="FootnoteCharacters"/>
        </w:rPr>
        <w:footnoteRef/>
      </w:r>
      <w:r>
        <w:rPr>
          <w:sz w:val="22"/>
        </w:rPr>
        <w:t xml:space="preserve"> </w:t>
      </w:r>
      <w:r>
        <w:rPr>
          <w:sz w:val="22"/>
        </w:rPr>
        <w:t>Relevant pages of the transcript from the Oversight Board's August 31, 2000 public meeting are appended in Attachment 3 hereto.  The quote in the text is contained on page 3 of this transcript.</w:t>
      </w:r>
    </w:p>
  </w:footnote>
  <w:footnote w:id="16">
    <w:p>
      <w:pPr>
        <w:pStyle w:val="Normal"/>
        <w:spacing w:before="0" w:after="240"/>
        <w:ind w:firstLine="720" w:end="0"/>
        <w:jc w:val="both"/>
        <w:rPr/>
      </w:pPr>
      <w:r>
        <w:rPr>
          <w:rStyle w:val="FootnoteCharacters"/>
        </w:rPr>
        <w:footnoteRef/>
      </w:r>
      <w:r>
        <w:rPr/>
        <w:t xml:space="preserve"> </w:t>
      </w:r>
      <w:r>
        <w:rPr>
          <w:i/>
          <w:sz w:val="22"/>
        </w:rPr>
        <w:t>Enron Comments</w:t>
      </w:r>
      <w:r>
        <w:rPr>
          <w:sz w:val="22"/>
        </w:rPr>
        <w:t xml:space="preserve"> at 18-19. </w:t>
      </w:r>
    </w:p>
  </w:footnote>
  <w:footnote w:id="17">
    <w:p>
      <w:pPr>
        <w:pStyle w:val="Normal"/>
        <w:spacing w:before="0" w:after="240"/>
        <w:ind w:firstLine="720" w:end="0"/>
        <w:jc w:val="both"/>
        <w:rPr/>
      </w:pPr>
      <w:r>
        <w:rPr>
          <w:rStyle w:val="FootnoteCharacters"/>
        </w:rPr>
        <w:footnoteRef/>
      </w:r>
      <w:r>
        <w:rPr>
          <w:i/>
        </w:rPr>
        <w:t xml:space="preserve"> </w:t>
      </w:r>
      <w:r>
        <w:rPr>
          <w:i/>
          <w:sz w:val="22"/>
        </w:rPr>
        <w:t xml:space="preserve"> </w:t>
      </w:r>
      <w:r>
        <w:rPr>
          <w:i/>
          <w:sz w:val="22"/>
        </w:rPr>
        <w:t>November 1 Order</w:t>
      </w:r>
      <w:r>
        <w:rPr>
          <w:sz w:val="22"/>
        </w:rPr>
        <w:t>, 93 FERC at 61,372</w:t>
      </w:r>
      <w:r>
        <w:rPr/>
        <w:t>.</w:t>
      </w:r>
    </w:p>
  </w:footnote>
  <w:footnote w:id="18">
    <w:p>
      <w:pPr>
        <w:pStyle w:val="Normal"/>
        <w:spacing w:before="0" w:after="240"/>
        <w:ind w:firstLine="720" w:end="0"/>
        <w:jc w:val="both"/>
        <w:rPr/>
      </w:pPr>
      <w:r>
        <w:rPr>
          <w:rStyle w:val="FootnoteCharacters"/>
        </w:rPr>
        <w:footnoteRef/>
      </w:r>
      <w:r>
        <w:rPr>
          <w:sz w:val="22"/>
        </w:rPr>
        <w:t xml:space="preserve"> </w:t>
      </w:r>
      <w:r>
        <w:rPr>
          <w:sz w:val="22"/>
        </w:rPr>
        <w:t xml:space="preserve">While the Commission has authority under FPA Section 206 to order refunds prospectively for the period beginning October 2, 2000, the Commission acted unlawfully in extending the refund effective period beyond the 15-month refund period allowed by Section 206, as it proposes to do by conditioning the authority of sellers to charge market based rates to their agreement to potential refunds for the 24-month period.  </w:t>
      </w:r>
      <w:r>
        <w:rPr>
          <w:i/>
          <w:sz w:val="22"/>
        </w:rPr>
        <w:t>See Enron Comments</w:t>
      </w:r>
      <w:r>
        <w:rPr>
          <w:sz w:val="22"/>
        </w:rPr>
        <w:t xml:space="preserve"> at 8-9.  This condition would impermissibly extend the 15-month refund limitation permitted by Section 206 to twenty four months.  </w:t>
      </w:r>
      <w:r>
        <w:rPr>
          <w:i/>
          <w:sz w:val="22"/>
        </w:rPr>
        <w:t>See National Fuel Gas Supply Corp. v. FERC</w:t>
      </w:r>
      <w:r>
        <w:rPr>
          <w:sz w:val="22"/>
        </w:rPr>
        <w:t xml:space="preserve">, 909 F.2d 1519, 1522 (D.C. Cir. 1990) (the Commission cannot do indirectly that which it cannot do directly.); </w:t>
      </w:r>
      <w:r>
        <w:rPr>
          <w:i/>
          <w:sz w:val="22"/>
        </w:rPr>
        <w:t>see also Richmond Power &amp; Light v. FERC</w:t>
      </w:r>
      <w:r>
        <w:rPr>
          <w:sz w:val="22"/>
        </w:rPr>
        <w:t>, 574 F.2d 610, 620 (D.C. Cir. 1978).  In lieu of the 24-month conditioning proposal, a more sensible course would be for the Commission to review prices in California after next summer, at which time it can determine whether to continue price caps and whether rates need at that time to be subject to refund consistent with Section 206.</w:t>
      </w:r>
    </w:p>
  </w:footnote>
  <w:footnote w:id="19">
    <w:p>
      <w:pPr>
        <w:pStyle w:val="Normal"/>
        <w:spacing w:before="0" w:after="240"/>
        <w:ind w:firstLine="720" w:end="0"/>
        <w:jc w:val="both"/>
        <w:rPr/>
      </w:pPr>
      <w:r>
        <w:rPr>
          <w:rStyle w:val="FootnoteCharacters"/>
        </w:rPr>
        <w:footnoteRef/>
      </w:r>
      <w:r>
        <w:rPr>
          <w:sz w:val="22"/>
        </w:rPr>
        <w:t xml:space="preserve"> </w:t>
      </w:r>
      <w:r>
        <w:rPr>
          <w:i/>
          <w:sz w:val="22"/>
        </w:rPr>
        <w:t>See Enron Comments</w:t>
      </w:r>
      <w:r>
        <w:rPr>
          <w:sz w:val="22"/>
        </w:rPr>
        <w:t xml:space="preserve"> at 5-6; and </w:t>
      </w:r>
      <w:r>
        <w:rPr>
          <w:i/>
          <w:sz w:val="22"/>
        </w:rPr>
        <w:t>Comnes Affidavit</w:t>
      </w:r>
      <w:r>
        <w:rPr>
          <w:sz w:val="22"/>
        </w:rPr>
        <w:t xml:space="preserve"> at 21-23.  </w:t>
      </w:r>
    </w:p>
  </w:footnote>
  <w:footnote w:id="20">
    <w:p>
      <w:pPr>
        <w:pStyle w:val="Normal"/>
        <w:spacing w:before="0" w:after="240"/>
        <w:ind w:firstLine="720" w:end="0"/>
        <w:jc w:val="both"/>
        <w:rPr/>
      </w:pPr>
      <w:r>
        <w:rPr>
          <w:rStyle w:val="FootnoteCharacters"/>
        </w:rPr>
        <w:footnoteRef/>
      </w:r>
      <w:r>
        <w:rPr>
          <w:sz w:val="22"/>
        </w:rPr>
        <w:t xml:space="preserve"> </w:t>
      </w:r>
      <w:r>
        <w:rPr>
          <w:sz w:val="22"/>
        </w:rPr>
        <w:t>http://www.duke-energy.com/internet/newscenter.</w:t>
      </w:r>
    </w:p>
  </w:footnote>
</w:footnotes>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2000-12-01T20:18:00Z</dcterms:created>
  <dc:creator>Bracewell &amp; Patterson</dc:creator>
  <dc:description/>
  <dc:language>en-CA</dc:language>
  <cp:lastModifiedBy>Bracewell &amp; Patterson</cp:lastModifiedBy>
  <dcterms:modified xsi:type="dcterms:W3CDTF">2000-12-01T20:18:00Z</dcterms:modified>
  <cp:revision>2</cp:revision>
  <dc:subject/>
  <dc:title/>
</cp:coreProperties>
</file>