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UNITED STATES BANKRUPTCY COURT</w:t>
      </w:r>
    </w:p>
    <w:p>
      <w:pPr>
        <w:pStyle w:val="Normal"/>
        <w:jc w:val="center"/>
        <w:rPr/>
      </w:pPr>
      <w:r>
        <w:rPr/>
        <w:t>DISTRICT OF CONNECTICUT</w:t>
      </w:r>
    </w:p>
    <w:p>
      <w:pPr>
        <w:pStyle w:val="Normal"/>
        <w:spacing w:before="0" w:after="240"/>
        <w:jc w:val="center"/>
        <w:rPr/>
      </w:pPr>
      <w:r>
        <w:rPr/>
        <w:t>BRIDGEPORT DIVISION</w:t>
      </w:r>
    </w:p>
    <w:p>
      <w:pPr>
        <w:pStyle w:val="Normal"/>
        <w:tabs>
          <w:tab w:val="clear" w:pos="720"/>
          <w:tab w:val="left" w:pos="4680" w:leader="none"/>
        </w:tabs>
        <w:spacing w:before="0" w:after="240"/>
        <w:rPr/>
      </w:pPr>
      <w:r>
        <w:rPr>
          <w:sz w:val="22"/>
          <w:u w:val="single"/>
        </w:rPr>
        <w:tab/>
      </w:r>
      <w:r>
        <w:rPr>
          <w:sz w:val="22"/>
        </w:rPr>
        <w:t>x</w:t>
      </w:r>
    </w:p>
    <w:p>
      <w:pPr>
        <w:pStyle w:val="Normal"/>
        <w:tabs>
          <w:tab w:val="clear" w:pos="720"/>
          <w:tab w:val="left" w:pos="4680" w:leader="none"/>
        </w:tabs>
        <w:rPr>
          <w:sz w:val="22"/>
        </w:rPr>
      </w:pPr>
      <w:r>
        <w:rPr>
          <w:sz w:val="22"/>
        </w:rPr>
        <w:t>In re:</w:t>
        <w:tab/>
        <w:t>:</w:t>
      </w:r>
    </w:p>
    <w:p>
      <w:pPr>
        <w:pStyle w:val="Normal"/>
        <w:tabs>
          <w:tab w:val="clear" w:pos="720"/>
          <w:tab w:val="left" w:pos="4680" w:leader="none"/>
        </w:tabs>
        <w:rPr>
          <w:sz w:val="22"/>
        </w:rPr>
      </w:pPr>
      <w:r>
        <w:rPr>
          <w:sz w:val="22"/>
        </w:rPr>
        <w:tab/>
        <w:tab/>
        <w:t>Chapter 11</w:t>
      </w:r>
    </w:p>
    <w:p>
      <w:pPr>
        <w:pStyle w:val="Normal"/>
        <w:tabs>
          <w:tab w:val="clear" w:pos="720"/>
          <w:tab w:val="left" w:pos="4680" w:leader="none"/>
        </w:tabs>
        <w:rPr>
          <w:sz w:val="22"/>
        </w:rPr>
      </w:pPr>
      <w:r>
        <w:rPr>
          <w:sz w:val="22"/>
        </w:rPr>
        <w:t>THE POWER COMPANY OF AMERICA, L.P.</w:t>
        <w:tab/>
        <w:t>:</w:t>
      </w:r>
    </w:p>
    <w:p>
      <w:pPr>
        <w:pStyle w:val="Normal"/>
        <w:tabs>
          <w:tab w:val="clear" w:pos="720"/>
          <w:tab w:val="left" w:pos="4680" w:leader="none"/>
        </w:tabs>
        <w:rPr>
          <w:sz w:val="22"/>
        </w:rPr>
      </w:pPr>
      <w:r>
        <w:rPr>
          <w:sz w:val="22"/>
        </w:rPr>
        <w:tab/>
        <w:tab/>
        <w:t>Case No. 98/51570 (AHWS)</w:t>
      </w:r>
    </w:p>
    <w:p>
      <w:pPr>
        <w:pStyle w:val="Normal"/>
        <w:tabs>
          <w:tab w:val="clear" w:pos="720"/>
          <w:tab w:val="left" w:pos="2160" w:leader="none"/>
          <w:tab w:val="left" w:pos="4680" w:leader="none"/>
        </w:tabs>
        <w:rPr>
          <w:sz w:val="22"/>
        </w:rPr>
      </w:pPr>
      <w:r>
        <w:rPr>
          <w:sz w:val="22"/>
        </w:rPr>
        <w:tab/>
        <w:t>Debtor.</w:t>
        <w:tab/>
        <w:t>:</w:t>
      </w:r>
    </w:p>
    <w:p>
      <w:pPr>
        <w:pStyle w:val="Normal"/>
        <w:tabs>
          <w:tab w:val="clear" w:pos="720"/>
          <w:tab w:val="left" w:pos="4680" w:leader="none"/>
        </w:tabs>
        <w:rPr/>
      </w:pPr>
      <w:r>
        <w:rPr>
          <w:sz w:val="22"/>
          <w:u w:val="single"/>
        </w:rPr>
        <w:tab/>
      </w:r>
      <w:r>
        <w:rPr>
          <w:sz w:val="22"/>
        </w:rPr>
        <w:t>x</w:t>
      </w:r>
    </w:p>
    <w:p>
      <w:pPr>
        <w:pStyle w:val="Normal"/>
        <w:tabs>
          <w:tab w:val="clear" w:pos="720"/>
          <w:tab w:val="left" w:pos="2160" w:leader="none"/>
          <w:tab w:val="left" w:pos="4680" w:leader="none"/>
        </w:tabs>
        <w:rPr>
          <w:sz w:val="22"/>
        </w:rPr>
      </w:pPr>
      <w:r>
        <w:rPr>
          <w:sz w:val="22"/>
        </w:rPr>
        <w:t>THE PCA LIQUIDATING TRUST,</w:t>
        <w:tab/>
      </w:r>
    </w:p>
    <w:p>
      <w:pPr>
        <w:pStyle w:val="Normal"/>
        <w:tabs>
          <w:tab w:val="clear" w:pos="720"/>
          <w:tab w:val="left" w:pos="4680" w:leader="none"/>
        </w:tabs>
        <w:rPr>
          <w:sz w:val="22"/>
        </w:rPr>
      </w:pPr>
      <w:r>
        <w:rPr>
          <w:sz w:val="22"/>
        </w:rPr>
        <w:tab/>
        <w:t>:</w:t>
      </w:r>
    </w:p>
    <w:p>
      <w:pPr>
        <w:pStyle w:val="Normal"/>
        <w:tabs>
          <w:tab w:val="clear" w:pos="720"/>
          <w:tab w:val="left" w:pos="2160" w:leader="none"/>
          <w:tab w:val="left" w:pos="4680" w:leader="none"/>
        </w:tabs>
        <w:rPr>
          <w:sz w:val="22"/>
        </w:rPr>
      </w:pPr>
      <w:r>
        <w:rPr>
          <w:sz w:val="22"/>
        </w:rPr>
        <w:tab/>
        <w:t>Plaintiff,</w:t>
        <w:tab/>
      </w:r>
    </w:p>
    <w:p>
      <w:pPr>
        <w:pStyle w:val="Normal"/>
        <w:tabs>
          <w:tab w:val="clear" w:pos="720"/>
          <w:tab w:val="left" w:pos="4680" w:leader="none"/>
        </w:tabs>
        <w:rPr>
          <w:sz w:val="22"/>
        </w:rPr>
      </w:pPr>
      <w:r>
        <w:rPr>
          <w:sz w:val="22"/>
        </w:rPr>
        <w:tab/>
        <w:t>:</w:t>
      </w:r>
    </w:p>
    <w:p>
      <w:pPr>
        <w:pStyle w:val="Normal"/>
        <w:tabs>
          <w:tab w:val="clear" w:pos="720"/>
          <w:tab w:val="left" w:pos="1440" w:leader="none"/>
          <w:tab w:val="left" w:pos="4680" w:leader="none"/>
          <w:tab w:val="left" w:pos="5040" w:leader="none"/>
          <w:tab w:val="left" w:pos="7200" w:leader="none"/>
        </w:tabs>
        <w:rPr>
          <w:sz w:val="22"/>
        </w:rPr>
      </w:pPr>
      <w:r>
        <w:rPr>
          <w:sz w:val="22"/>
        </w:rPr>
        <w:tab/>
        <w:t>-against-</w:t>
        <w:tab/>
        <w:tab/>
        <w:t>Adv. Proc. No. 00-05067 (AHWS)</w:t>
      </w:r>
    </w:p>
    <w:p>
      <w:pPr>
        <w:pStyle w:val="Normal"/>
        <w:tabs>
          <w:tab w:val="clear" w:pos="720"/>
          <w:tab w:val="left" w:pos="4680" w:leader="none"/>
        </w:tabs>
        <w:rPr>
          <w:sz w:val="22"/>
        </w:rPr>
      </w:pPr>
      <w:r>
        <w:rPr>
          <w:sz w:val="22"/>
        </w:rPr>
        <w:tab/>
        <w:t>:</w:t>
      </w:r>
    </w:p>
    <w:p>
      <w:pPr>
        <w:pStyle w:val="Normal"/>
        <w:tabs>
          <w:tab w:val="clear" w:pos="720"/>
          <w:tab w:val="left" w:pos="4680" w:leader="none"/>
        </w:tabs>
        <w:rPr>
          <w:sz w:val="22"/>
        </w:rPr>
      </w:pPr>
      <w:r>
        <w:rPr>
          <w:sz w:val="22"/>
        </w:rPr>
        <w:t>ENRON POWER MARKETING, INC.</w:t>
        <w:tab/>
      </w:r>
    </w:p>
    <w:p>
      <w:pPr>
        <w:pStyle w:val="Normal"/>
        <w:tabs>
          <w:tab w:val="clear" w:pos="720"/>
          <w:tab w:val="left" w:pos="4680" w:leader="none"/>
        </w:tabs>
        <w:rPr>
          <w:sz w:val="22"/>
        </w:rPr>
      </w:pPr>
      <w:r>
        <w:rPr>
          <w:sz w:val="22"/>
        </w:rPr>
        <w:tab/>
        <w:t>:</w:t>
      </w:r>
    </w:p>
    <w:p>
      <w:pPr>
        <w:pStyle w:val="Normal"/>
        <w:tabs>
          <w:tab w:val="clear" w:pos="720"/>
          <w:tab w:val="left" w:pos="2160" w:leader="none"/>
          <w:tab w:val="left" w:pos="4680" w:leader="none"/>
        </w:tabs>
        <w:rPr>
          <w:sz w:val="22"/>
        </w:rPr>
      </w:pPr>
      <w:r>
        <w:rPr>
          <w:sz w:val="22"/>
        </w:rPr>
        <w:tab/>
        <w:t>Defendant.</w:t>
        <w:tab/>
      </w:r>
    </w:p>
    <w:p>
      <w:pPr>
        <w:pStyle w:val="Normal"/>
        <w:tabs>
          <w:tab w:val="clear" w:pos="720"/>
          <w:tab w:val="left" w:pos="4680" w:leader="none"/>
        </w:tabs>
        <w:rPr>
          <w:sz w:val="22"/>
        </w:rPr>
      </w:pPr>
      <w:r>
        <w:rPr>
          <w:sz w:val="22"/>
        </w:rPr>
        <w:tab/>
        <w:t>:</w:t>
      </w:r>
    </w:p>
    <w:p>
      <w:pPr>
        <w:pStyle w:val="Normal"/>
        <w:tabs>
          <w:tab w:val="clear" w:pos="720"/>
          <w:tab w:val="left" w:pos="4680" w:leader="none"/>
        </w:tabs>
        <w:spacing w:before="0" w:after="360"/>
        <w:rPr>
          <w:sz w:val="22"/>
          <w:u w:val="single"/>
        </w:rPr>
      </w:pPr>
      <w:r>
        <w:rPr>
          <w:sz w:val="22"/>
          <w:u w:val="single"/>
        </w:rPr>
        <w:tab/>
        <w:t>x</w:t>
      </w:r>
    </w:p>
    <w:p>
      <w:pPr>
        <w:pStyle w:val="Heading"/>
        <w:rPr>
          <w:u w:val="single"/>
        </w:rPr>
      </w:pPr>
      <w:r>
        <w:rPr>
          <w:u w:val="single"/>
        </w:rPr>
        <w:t>ENRON POWER MARKETING INC.’S FIRST REQUEST FOR PRODUCTION</w:t>
      </w:r>
    </w:p>
    <w:p>
      <w:pPr>
        <w:pStyle w:val="Normal"/>
        <w:spacing w:before="0" w:after="360"/>
        <w:ind w:hanging="720" w:start="720" w:end="0"/>
        <w:jc w:val="both"/>
        <w:rPr/>
      </w:pPr>
      <w:r>
        <w:rPr/>
        <w:t>To:</w:t>
        <w:tab/>
        <w:t xml:space="preserve">Plaintiff, PCA Liquidating Trust, by and through its counsel of record, Herb S. Edelman and Jane W. Parver, </w:t>
      </w:r>
      <w:r>
        <w:rPr>
          <w:smallCaps/>
        </w:rPr>
        <w:t>Kaye, Scholer, Fierman, Hays &amp; Handler, L.L.P.</w:t>
      </w:r>
      <w:r>
        <w:rPr/>
        <w:t>, 425 Park Avenue, New York, New York 10022.</w:t>
      </w:r>
    </w:p>
    <w:p>
      <w:pPr>
        <w:pStyle w:val="BodyText2"/>
        <w:rPr/>
      </w:pPr>
      <w:r>
        <w:rPr/>
        <w:t xml:space="preserve">Pursuant to Rule 36 of the Federal Rules of Civil Procedure, and Rule 7036 of the Federal Rules of Bankruptcy Procedure, and Judge Zampano’s November 10, 2000 Discovery Scheduling Order, Defendant Enron Power Marketing, Inc. (“EPMI”) serves these requests for production on Plaintiff PCA Liquidating Trust (“PCA”).  </w:t>
      </w:r>
      <w:r>
        <w:br w:type="page"/>
      </w:r>
    </w:p>
    <w:p>
      <w:pPr>
        <w:pStyle w:val="BodyText2"/>
        <w:rPr>
          <w:i/>
          <w:i/>
        </w:rPr>
      </w:pPr>
      <w:r>
        <w:rPr>
          <w:i/>
        </w:rPr>
      </w:r>
    </w:p>
    <w:p>
      <w:pPr>
        <w:pStyle w:val="Subtitle"/>
        <w:rPr/>
      </w:pPr>
      <w:r>
        <w:rPr/>
        <w:t>DEFINITIONS</w:t>
      </w:r>
    </w:p>
    <w:p>
      <w:pPr>
        <w:pStyle w:val="StandardL1"/>
        <w:numPr>
          <w:ilvl w:val="0"/>
          <w:numId w:val="15"/>
        </w:numPr>
        <w:rPr/>
      </w:pPr>
      <w:r>
        <w:rPr/>
        <w:t>As used herein, the words “and” and “or” shall be construed either disjunctively or conjunctively as necessary to bring within the scope of the request all responses that might otherwise be construed to be outside its scope.</w:t>
      </w:r>
    </w:p>
    <w:p>
      <w:pPr>
        <w:pStyle w:val="StandardL1"/>
        <w:numPr>
          <w:ilvl w:val="0"/>
          <w:numId w:val="15"/>
        </w:numPr>
        <w:rPr/>
      </w:pPr>
      <w:r>
        <w:rPr/>
        <w:t>As used herein, the terms “you,” “your,” “Trustee,” or “Trust” refer to Goldin Associates, L.L.C., Trustee for the PCA Liquidating Trust, the PCA Liquidating Trust, and each of its agents, employees, officers, directors, attorneys, parent(s), affiliates and predecessors.</w:t>
      </w:r>
    </w:p>
    <w:p>
      <w:pPr>
        <w:pStyle w:val="StandardL1"/>
        <w:numPr>
          <w:ilvl w:val="0"/>
          <w:numId w:val="15"/>
        </w:numPr>
        <w:rPr/>
      </w:pPr>
      <w:r>
        <w:rPr/>
        <w:t>As used herein, the term “PCA” refers to The Power Company of America, L.P., and each of its agents, employees, officers, directors, attorneys, parent(s), affiliates and predecessors.</w:t>
      </w:r>
    </w:p>
    <w:p>
      <w:pPr>
        <w:pStyle w:val="StandardL1"/>
        <w:numPr>
          <w:ilvl w:val="0"/>
          <w:numId w:val="15"/>
        </w:numPr>
        <w:rPr/>
      </w:pPr>
      <w:r>
        <w:rPr/>
        <w:t>As used herein, the word “Complaint” means the complaint filed by you in the above-captioned Adversary Proceeding.</w:t>
      </w:r>
    </w:p>
    <w:p>
      <w:pPr>
        <w:pStyle w:val="StandardL1"/>
        <w:numPr>
          <w:ilvl w:val="0"/>
          <w:numId w:val="15"/>
        </w:numPr>
        <w:rPr/>
      </w:pPr>
      <w:r>
        <w:rPr/>
        <w:t>As used herein, the word “communication(s)” means the transmittal of information (in the form of facts, ideas, inquiries or otherwise), including, but not limited to, documents, telephone or face-to-face conversations, electronic mail transmissions, meetings, or conferences.</w:t>
      </w:r>
    </w:p>
    <w:p>
      <w:pPr>
        <w:pStyle w:val="StandardL1"/>
        <w:numPr>
          <w:ilvl w:val="0"/>
          <w:numId w:val="15"/>
        </w:numPr>
        <w:rPr/>
      </w:pPr>
      <w:r>
        <w:rPr/>
        <w:t>As used herein, the words “Pending Transactions” mean the transactions listed in Exhibit A attached hereto.</w:t>
      </w:r>
    </w:p>
    <w:p>
      <w:pPr>
        <w:pStyle w:val="StandardL1"/>
        <w:numPr>
          <w:ilvl w:val="0"/>
          <w:numId w:val="15"/>
        </w:numPr>
        <w:rPr/>
      </w:pPr>
      <w:r>
        <w:rPr/>
        <w:t>As used herein, the words “Master Agreement” mean the Master Energy Purchase and Sale Agreement dated as of November 1, 1996 between PCA and EPMI.</w:t>
      </w:r>
    </w:p>
    <w:p>
      <w:pPr>
        <w:pStyle w:val="StandardL1"/>
        <w:numPr>
          <w:ilvl w:val="0"/>
          <w:numId w:val="15"/>
        </w:numPr>
        <w:rPr/>
      </w:pPr>
      <w:r>
        <w:rPr/>
        <w:t>As used herein, the word “EPMI” means Enron Power Marketing, Inc., and each of its agents, employees, officers, directors, attorneys, parent(s), affiliates and predecessors.</w:t>
      </w:r>
    </w:p>
    <w:p>
      <w:pPr>
        <w:pStyle w:val="StandardL1"/>
        <w:numPr>
          <w:ilvl w:val="0"/>
          <w:numId w:val="15"/>
        </w:numPr>
        <w:rPr/>
      </w:pPr>
      <w:r>
        <w:rPr/>
        <w:t>As used herein, the words “June 25 Letter” mean the letter dated June 25, 1998, from EPMI to PCA, attached as Exhibit B.</w:t>
      </w:r>
    </w:p>
    <w:p>
      <w:pPr>
        <w:pStyle w:val="StandardL1"/>
        <w:numPr>
          <w:ilvl w:val="0"/>
          <w:numId w:val="15"/>
        </w:numPr>
        <w:rPr/>
      </w:pPr>
      <w:r>
        <w:rPr/>
        <w:t>As used herein, the words “July 1 Letter” mean the letter dated July 1, 1998, from EPMI to PCA, as attached as Exhibit C.</w:t>
      </w:r>
    </w:p>
    <w:p>
      <w:pPr>
        <w:pStyle w:val="StandardL1"/>
        <w:numPr>
          <w:ilvl w:val="0"/>
          <w:numId w:val="15"/>
        </w:numPr>
        <w:rPr/>
      </w:pPr>
      <w:r>
        <w:rPr/>
        <w:t>As used herein, the words “PCA May Payable” mean the payment due by PCA to EPMI on or before June 18, 1998, in the amount of $1,432,961.80, and evidenced by Invoice No. N199806, attached as Exhibit D.</w:t>
      </w:r>
    </w:p>
    <w:p>
      <w:pPr>
        <w:pStyle w:val="StandardL1"/>
        <w:numPr>
          <w:ilvl w:val="0"/>
          <w:numId w:val="15"/>
        </w:numPr>
        <w:rPr/>
      </w:pPr>
      <w:r>
        <w:rPr/>
        <w:t>As used herein, the words “May Deliveries” mean the 441,152 MW/hr of electric power delivered to PCA as reflected in the June Invoice.</w:t>
      </w:r>
    </w:p>
    <w:p>
      <w:pPr>
        <w:pStyle w:val="StandardL1"/>
        <w:numPr>
          <w:ilvl w:val="0"/>
          <w:numId w:val="15"/>
        </w:numPr>
        <w:rPr/>
      </w:pPr>
      <w:r>
        <w:rPr/>
        <w:t>As used herein, the words “June Invoice” mean the EPMI Invoice dated June 8, 1998, Invoice No. N199806 in the amount of $1,432,961.80, attached as Exhibit D.</w:t>
      </w:r>
    </w:p>
    <w:p>
      <w:pPr>
        <w:pStyle w:val="StandardL1"/>
        <w:numPr>
          <w:ilvl w:val="0"/>
          <w:numId w:val="15"/>
        </w:numPr>
        <w:rPr/>
      </w:pPr>
      <w:r>
        <w:rPr/>
        <w:t>As used herein, the words “New York Office” mean PCA’s office at 450 Park Avenue, Suite 403, New York, New York 10022.</w:t>
      </w:r>
    </w:p>
    <w:p>
      <w:pPr>
        <w:pStyle w:val="StandardL1"/>
        <w:numPr>
          <w:ilvl w:val="0"/>
          <w:numId w:val="15"/>
        </w:numPr>
        <w:rPr/>
      </w:pPr>
      <w:r>
        <w:rPr/>
        <w:t>As used herein, the word “Connecticut Office” mean PCA’s office at Two Greenwich Plaza, Second Floor, Greenwich, Connecticut 06830.</w:t>
      </w:r>
    </w:p>
    <w:p>
      <w:pPr>
        <w:pStyle w:val="Subtitle"/>
        <w:rPr/>
      </w:pPr>
      <w:r>
        <w:rPr/>
        <w:t>Instructions for Document Requests</w:t>
      </w:r>
    </w:p>
    <w:p>
      <w:pPr>
        <w:pStyle w:val="BodyText2"/>
        <w:rPr/>
      </w:pPr>
      <w:r>
        <w:rPr>
          <w:rStyle w:val="ParaNum"/>
        </w:rPr>
        <w:t>1.</w:t>
      </w:r>
      <w:r>
        <w:rPr/>
        <w:tab/>
        <w:t>If any of the documents responsive to any of these requests is withheld by asserting any privilege or immunity from production, please provide a schedule within 15 days of your response to this request which states for each document withheld the following information:</w:t>
      </w:r>
    </w:p>
    <w:p>
      <w:pPr>
        <w:pStyle w:val="BodyText2"/>
        <w:rPr/>
      </w:pPr>
      <w:r>
        <w:rPr>
          <w:rStyle w:val="ParaNum"/>
        </w:rPr>
        <w:t>(a)</w:t>
      </w:r>
      <w:r>
        <w:rPr/>
        <w:tab/>
        <w:t>The type of document, (e.g. letter, memorandum, account statement, etc.)</w:t>
      </w:r>
    </w:p>
    <w:p>
      <w:pPr>
        <w:pStyle w:val="BodyText2"/>
        <w:rPr/>
      </w:pPr>
      <w:r>
        <w:rPr>
          <w:rStyle w:val="ParaNum"/>
        </w:rPr>
        <w:t>(b)</w:t>
      </w:r>
      <w:r>
        <w:rPr/>
        <w:tab/>
        <w:t>The date the document was prepared, and the date of any meeting or conversation reflected or referred to in the document;</w:t>
      </w:r>
    </w:p>
    <w:p>
      <w:pPr>
        <w:pStyle w:val="BodyText2"/>
        <w:rPr/>
      </w:pPr>
      <w:r>
        <w:rPr>
          <w:rStyle w:val="ParaNum"/>
        </w:rPr>
        <w:t>(c)</w:t>
      </w:r>
      <w:r>
        <w:rPr/>
        <w:tab/>
        <w:t>The name of each author, co-author, or preparer of the document and the name of each recipient or addressee, including each recipient of a copy of the document;</w:t>
      </w:r>
    </w:p>
    <w:p>
      <w:pPr>
        <w:pStyle w:val="BodyText2"/>
        <w:rPr/>
      </w:pPr>
      <w:r>
        <w:rPr>
          <w:rStyle w:val="ParaNum"/>
        </w:rPr>
        <w:t>(d)</w:t>
      </w:r>
      <w:r>
        <w:rPr/>
        <w:tab/>
        <w:t>If the document reflected or refers to a meeting or conversation, the name of each person who was present at or was a party to the meeting or conversation;</w:t>
      </w:r>
    </w:p>
    <w:p>
      <w:pPr>
        <w:pStyle w:val="BodyText2"/>
        <w:rPr/>
      </w:pPr>
      <w:r>
        <w:rPr>
          <w:rStyle w:val="ParaNum"/>
        </w:rPr>
        <w:t>(e)</w:t>
      </w:r>
      <w:r>
        <w:rPr/>
        <w:tab/>
        <w:t>The subject matter of the information contained in the document;</w:t>
      </w:r>
    </w:p>
    <w:p>
      <w:pPr>
        <w:pStyle w:val="BodyText2"/>
        <w:rPr/>
      </w:pPr>
      <w:r>
        <w:rPr>
          <w:rStyle w:val="ParaNum"/>
        </w:rPr>
        <w:t>(f)</w:t>
      </w:r>
      <w:r>
        <w:rPr/>
        <w:tab/>
        <w:t>The nature of the privilege or immunity asserted; and</w:t>
      </w:r>
    </w:p>
    <w:p>
      <w:pPr>
        <w:pStyle w:val="BodyText2"/>
        <w:rPr/>
      </w:pPr>
      <w:r>
        <w:rPr>
          <w:rStyle w:val="ParaNum"/>
        </w:rPr>
        <w:t>(g)</w:t>
      </w:r>
      <w:r>
        <w:rPr/>
        <w:tab/>
        <w:t>A brief explanation of why the document is believed to be privileged or immune from production.</w:t>
      </w:r>
    </w:p>
    <w:p>
      <w:pPr>
        <w:pStyle w:val="BodyText2"/>
        <w:rPr/>
      </w:pPr>
      <w:r>
        <w:rPr>
          <w:rStyle w:val="ParaNum"/>
        </w:rPr>
        <w:t>2.</w:t>
      </w:r>
      <w:r>
        <w:rPr/>
        <w:tab/>
        <w:t>For a document that no longer exists or that cannot be located, identify the document, state how and when it passed out of existence, or when it could no longer be located, and the reasons for the disappearance.  Also, identify each person having knowledge about the disposition or loss of the document, and identify any other document evidencing the lost document’s existence or any facts about the lost document.</w:t>
      </w:r>
    </w:p>
    <w:p>
      <w:pPr>
        <w:pStyle w:val="Normal"/>
        <w:keepNext w:val="true"/>
        <w:keepLines/>
        <w:tabs>
          <w:tab w:val="clear" w:pos="720"/>
          <w:tab w:val="left" w:pos="6629" w:leader="none"/>
          <w:tab w:val="right" w:pos="8320" w:leader="none"/>
        </w:tabs>
        <w:spacing w:lineRule="auto" w:line="480"/>
        <w:rPr/>
      </w:pPr>
      <w:r>
        <w:rPr>
          <w:b/>
          <w:caps/>
          <w:u w:val="single"/>
        </w:rPr>
        <w:t xml:space="preserve">Request No. </w:t>
      </w:r>
      <w:r>
        <w:rPr>
          <w:b/>
          <w:caps/>
          <w:u w:val="single"/>
        </w:rPr>
        <w:fldChar w:fldCharType="begin"/>
      </w:r>
      <w:r>
        <w:rPr>
          <w:caps/>
          <w:u w:val="single"/>
          <w:b/>
        </w:rPr>
        <w:instrText xml:space="preserve"> SEQ AutoNr \* ARABIC </w:instrText>
      </w:r>
      <w:r>
        <w:rPr>
          <w:caps/>
          <w:u w:val="single"/>
          <w:b/>
        </w:rPr>
        <w:fldChar w:fldCharType="separate"/>
      </w:r>
      <w:r>
        <w:rPr>
          <w:caps/>
          <w:u w:val="single"/>
          <w:b/>
        </w:rPr>
        <w:t>1</w:t>
      </w:r>
      <w:r>
        <w:rPr>
          <w:caps/>
          <w:u w:val="single"/>
          <w:b/>
        </w:rPr>
        <w:fldChar w:fldCharType="end"/>
      </w:r>
      <w:r>
        <w:rPr>
          <w:b/>
          <w:caps/>
          <w:u w:val="single"/>
        </w:rPr>
        <w:t>:</w:t>
      </w:r>
    </w:p>
    <w:p>
      <w:pPr>
        <w:pStyle w:val="BodyText"/>
        <w:rPr/>
      </w:pPr>
      <w:r>
        <w:rPr/>
        <w:t xml:space="preserve">All documents that relate to non-privileged communication with any party regarding EMPI. </w:t>
      </w:r>
    </w:p>
    <w:p>
      <w:pPr>
        <w:pStyle w:val="Normal"/>
        <w:keepNext w:val="true"/>
        <w:keepLines/>
        <w:tabs>
          <w:tab w:val="clear" w:pos="720"/>
          <w:tab w:val="left" w:pos="6629" w:leader="none"/>
          <w:tab w:val="right" w:pos="8320" w:leader="none"/>
        </w:tabs>
        <w:spacing w:lineRule="auto" w:line="480"/>
        <w:rPr/>
      </w:pPr>
      <w:r>
        <w:rPr>
          <w:b/>
          <w:caps/>
          <w:u w:val="single"/>
        </w:rPr>
        <w:t xml:space="preserve">Request No. </w:t>
      </w:r>
      <w:r>
        <w:rPr>
          <w:b/>
          <w:caps/>
          <w:u w:val="single"/>
        </w:rPr>
        <w:fldChar w:fldCharType="begin"/>
      </w:r>
      <w:r>
        <w:rPr>
          <w:caps/>
          <w:u w:val="single"/>
          <w:b/>
        </w:rPr>
        <w:instrText xml:space="preserve"> SEQ AutoNr \* ARABIC </w:instrText>
      </w:r>
      <w:r>
        <w:rPr>
          <w:caps/>
          <w:u w:val="single"/>
          <w:b/>
        </w:rPr>
        <w:fldChar w:fldCharType="separate"/>
      </w:r>
      <w:r>
        <w:rPr>
          <w:caps/>
          <w:u w:val="single"/>
          <w:b/>
        </w:rPr>
        <w:t>2</w:t>
      </w:r>
      <w:r>
        <w:rPr>
          <w:caps/>
          <w:u w:val="single"/>
          <w:b/>
        </w:rPr>
        <w:fldChar w:fldCharType="end"/>
      </w:r>
      <w:r>
        <w:rPr>
          <w:b/>
          <w:caps/>
          <w:u w:val="single"/>
        </w:rPr>
        <w:t>:</w:t>
      </w:r>
    </w:p>
    <w:p>
      <w:pPr>
        <w:pStyle w:val="BodyText"/>
        <w:rPr/>
      </w:pPr>
      <w:r>
        <w:rPr/>
        <w:t>All documents that relate to communications between EMPI and PCA.</w:t>
      </w:r>
    </w:p>
    <w:p>
      <w:pPr>
        <w:pStyle w:val="Normal"/>
        <w:keepNext w:val="true"/>
        <w:keepLines/>
        <w:tabs>
          <w:tab w:val="clear" w:pos="720"/>
          <w:tab w:val="left" w:pos="6629" w:leader="none"/>
          <w:tab w:val="right" w:pos="8320" w:leader="none"/>
        </w:tabs>
        <w:spacing w:lineRule="auto" w:line="480"/>
        <w:rPr/>
      </w:pPr>
      <w:r>
        <w:rPr>
          <w:b/>
          <w:caps/>
          <w:u w:val="single"/>
        </w:rPr>
        <w:t xml:space="preserve">Request No. </w:t>
      </w:r>
      <w:r>
        <w:rPr>
          <w:b/>
          <w:caps/>
          <w:u w:val="single"/>
        </w:rPr>
        <w:fldChar w:fldCharType="begin"/>
      </w:r>
      <w:r>
        <w:rPr>
          <w:caps/>
          <w:u w:val="single"/>
          <w:b/>
        </w:rPr>
        <w:instrText xml:space="preserve"> SEQ AutoNr \* ARABIC </w:instrText>
      </w:r>
      <w:r>
        <w:rPr>
          <w:caps/>
          <w:u w:val="single"/>
          <w:b/>
        </w:rPr>
        <w:fldChar w:fldCharType="separate"/>
      </w:r>
      <w:r>
        <w:rPr>
          <w:caps/>
          <w:u w:val="single"/>
          <w:b/>
        </w:rPr>
        <w:t>3</w:t>
      </w:r>
      <w:r>
        <w:rPr>
          <w:caps/>
          <w:u w:val="single"/>
          <w:b/>
        </w:rPr>
        <w:fldChar w:fldCharType="end"/>
      </w:r>
      <w:r>
        <w:rPr>
          <w:b/>
          <w:caps/>
          <w:u w:val="single"/>
        </w:rPr>
        <w:t>:</w:t>
      </w:r>
    </w:p>
    <w:p>
      <w:pPr>
        <w:pStyle w:val="BodyText"/>
        <w:rPr/>
      </w:pPr>
      <w:r>
        <w:rPr/>
        <w:t>All documents upon which you base your contention in paragraph 9 of the Complaint that the contracts between EPMI and PCA “were subject to the terms and conditions of the Western Systems Power Pool Agreement.”</w:t>
      </w:r>
    </w:p>
    <w:p>
      <w:pPr>
        <w:pStyle w:val="Normal"/>
        <w:keepNext w:val="true"/>
        <w:keepLines/>
        <w:tabs>
          <w:tab w:val="clear" w:pos="720"/>
          <w:tab w:val="left" w:pos="6629" w:leader="none"/>
          <w:tab w:val="right" w:pos="8320" w:leader="none"/>
        </w:tabs>
        <w:spacing w:lineRule="auto" w:line="480"/>
        <w:rPr/>
      </w:pPr>
      <w:r>
        <w:rPr>
          <w:b/>
          <w:caps/>
          <w:u w:val="single"/>
        </w:rPr>
        <w:t xml:space="preserve">Request No. </w:t>
      </w:r>
      <w:r>
        <w:rPr>
          <w:b/>
          <w:caps/>
          <w:u w:val="single"/>
        </w:rPr>
        <w:fldChar w:fldCharType="begin"/>
      </w:r>
      <w:r>
        <w:rPr>
          <w:caps/>
          <w:u w:val="single"/>
          <w:b/>
        </w:rPr>
        <w:instrText xml:space="preserve"> SEQ AutoNr \* ARABIC </w:instrText>
      </w:r>
      <w:r>
        <w:rPr>
          <w:caps/>
          <w:u w:val="single"/>
          <w:b/>
        </w:rPr>
        <w:fldChar w:fldCharType="separate"/>
      </w:r>
      <w:r>
        <w:rPr>
          <w:caps/>
          <w:u w:val="single"/>
          <w:b/>
        </w:rPr>
        <w:t>4</w:t>
      </w:r>
      <w:r>
        <w:rPr>
          <w:caps/>
          <w:u w:val="single"/>
          <w:b/>
        </w:rPr>
        <w:fldChar w:fldCharType="end"/>
      </w:r>
      <w:r>
        <w:rPr>
          <w:b/>
          <w:caps/>
          <w:u w:val="single"/>
        </w:rPr>
        <w:t>:</w:t>
      </w:r>
    </w:p>
    <w:p>
      <w:pPr>
        <w:pStyle w:val="BodyText"/>
        <w:rPr/>
      </w:pPr>
      <w:r>
        <w:rPr/>
        <w:t>All documents upon which you base your contention in paragraph 10 of the Complaint that the spike of the price of electric power to “unprecedented levels” prompted EPMI to attempt to extricate itself from its existing contracts to sell power to PCA</w:t>
      </w:r>
    </w:p>
    <w:p>
      <w:pPr>
        <w:pStyle w:val="Normal"/>
        <w:keepNext w:val="true"/>
        <w:keepLines/>
        <w:tabs>
          <w:tab w:val="clear" w:pos="720"/>
          <w:tab w:val="left" w:pos="6629" w:leader="none"/>
          <w:tab w:val="right" w:pos="8320" w:leader="none"/>
        </w:tabs>
        <w:spacing w:lineRule="auto" w:line="480"/>
        <w:rPr/>
      </w:pPr>
      <w:r>
        <w:rPr>
          <w:b/>
          <w:caps/>
          <w:u w:val="single"/>
        </w:rPr>
        <w:t xml:space="preserve">Request No. </w:t>
      </w:r>
      <w:r>
        <w:rPr>
          <w:b/>
          <w:caps/>
          <w:u w:val="single"/>
        </w:rPr>
        <w:fldChar w:fldCharType="begin"/>
      </w:r>
      <w:r>
        <w:rPr>
          <w:caps/>
          <w:u w:val="single"/>
          <w:b/>
        </w:rPr>
        <w:instrText xml:space="preserve"> SEQ AutoNr \* ARABIC </w:instrText>
      </w:r>
      <w:r>
        <w:rPr>
          <w:caps/>
          <w:u w:val="single"/>
          <w:b/>
        </w:rPr>
        <w:fldChar w:fldCharType="separate"/>
      </w:r>
      <w:r>
        <w:rPr>
          <w:caps/>
          <w:u w:val="single"/>
          <w:b/>
        </w:rPr>
        <w:t>5</w:t>
      </w:r>
      <w:r>
        <w:rPr>
          <w:caps/>
          <w:u w:val="single"/>
          <w:b/>
        </w:rPr>
        <w:fldChar w:fldCharType="end"/>
      </w:r>
      <w:r>
        <w:rPr>
          <w:b/>
          <w:caps/>
          <w:u w:val="single"/>
        </w:rPr>
        <w:t>:</w:t>
      </w:r>
    </w:p>
    <w:p>
      <w:pPr>
        <w:pStyle w:val="BodyText"/>
        <w:rPr/>
      </w:pPr>
      <w:r>
        <w:rPr/>
        <w:t>All documents upon which you base your contention in paragraph 14 of the Complaint that EPMI “never provided PCA with . . . written notice of an Event of Default and 3 business days cure period.”.</w:t>
      </w:r>
    </w:p>
    <w:p>
      <w:pPr>
        <w:pStyle w:val="Normal"/>
        <w:keepNext w:val="true"/>
        <w:keepLines/>
        <w:tabs>
          <w:tab w:val="clear" w:pos="720"/>
          <w:tab w:val="left" w:pos="6629" w:leader="none"/>
          <w:tab w:val="right" w:pos="8320" w:leader="none"/>
        </w:tabs>
        <w:spacing w:lineRule="auto" w:line="480"/>
        <w:rPr/>
      </w:pPr>
      <w:r>
        <w:rPr>
          <w:b/>
          <w:caps/>
          <w:u w:val="single"/>
        </w:rPr>
        <w:t xml:space="preserve">Request No. </w:t>
      </w:r>
      <w:r>
        <w:rPr>
          <w:b/>
          <w:caps/>
          <w:u w:val="single"/>
        </w:rPr>
        <w:fldChar w:fldCharType="begin"/>
      </w:r>
      <w:r>
        <w:rPr>
          <w:caps/>
          <w:u w:val="single"/>
          <w:b/>
        </w:rPr>
        <w:instrText xml:space="preserve"> SEQ AutoNr \* ARABIC </w:instrText>
      </w:r>
      <w:r>
        <w:rPr>
          <w:caps/>
          <w:u w:val="single"/>
          <w:b/>
        </w:rPr>
        <w:fldChar w:fldCharType="separate"/>
      </w:r>
      <w:r>
        <w:rPr>
          <w:caps/>
          <w:u w:val="single"/>
          <w:b/>
        </w:rPr>
        <w:t>6</w:t>
      </w:r>
      <w:r>
        <w:rPr>
          <w:caps/>
          <w:u w:val="single"/>
          <w:b/>
        </w:rPr>
        <w:fldChar w:fldCharType="end"/>
      </w:r>
      <w:r>
        <w:rPr>
          <w:b/>
          <w:caps/>
          <w:u w:val="single"/>
        </w:rPr>
        <w:t>:</w:t>
      </w:r>
    </w:p>
    <w:p>
      <w:pPr>
        <w:pStyle w:val="BodyText"/>
        <w:rPr/>
      </w:pPr>
      <w:r>
        <w:rPr/>
        <w:t>All documents upon which you based your contention in paragraph 15 of the Complaint that “EPMI has failed to produce any evidence that it sent its purported June 25 Letter.”</w:t>
      </w:r>
    </w:p>
    <w:p>
      <w:pPr>
        <w:pStyle w:val="Normal"/>
        <w:keepNext w:val="true"/>
        <w:keepLines/>
        <w:tabs>
          <w:tab w:val="clear" w:pos="720"/>
          <w:tab w:val="left" w:pos="6629" w:leader="none"/>
          <w:tab w:val="right" w:pos="8320" w:leader="none"/>
        </w:tabs>
        <w:spacing w:lineRule="auto" w:line="480"/>
        <w:rPr/>
      </w:pPr>
      <w:r>
        <w:rPr>
          <w:b/>
          <w:caps/>
          <w:u w:val="single"/>
        </w:rPr>
        <w:t xml:space="preserve">Request No. </w:t>
      </w:r>
      <w:r>
        <w:rPr>
          <w:b/>
          <w:caps/>
          <w:u w:val="single"/>
        </w:rPr>
        <w:fldChar w:fldCharType="begin"/>
      </w:r>
      <w:r>
        <w:rPr>
          <w:caps/>
          <w:u w:val="single"/>
          <w:b/>
        </w:rPr>
        <w:instrText xml:space="preserve"> SEQ AutoNr \* ARABIC </w:instrText>
      </w:r>
      <w:r>
        <w:rPr>
          <w:caps/>
          <w:u w:val="single"/>
          <w:b/>
        </w:rPr>
        <w:fldChar w:fldCharType="separate"/>
      </w:r>
      <w:r>
        <w:rPr>
          <w:caps/>
          <w:u w:val="single"/>
          <w:b/>
        </w:rPr>
        <w:t>7</w:t>
      </w:r>
      <w:r>
        <w:rPr>
          <w:caps/>
          <w:u w:val="single"/>
          <w:b/>
        </w:rPr>
        <w:fldChar w:fldCharType="end"/>
      </w:r>
      <w:r>
        <w:rPr>
          <w:b/>
          <w:caps/>
          <w:u w:val="single"/>
        </w:rPr>
        <w:t>:</w:t>
      </w:r>
    </w:p>
    <w:p>
      <w:pPr>
        <w:pStyle w:val="BodyText"/>
        <w:rPr/>
      </w:pPr>
      <w:r>
        <w:rPr/>
        <w:t>All documents upon which you base any contention that the June 25 Letter did not constitute proper notice as required under the Master Agreement.</w:t>
      </w:r>
    </w:p>
    <w:p>
      <w:pPr>
        <w:pStyle w:val="Normal"/>
        <w:keepNext w:val="true"/>
        <w:keepLines/>
        <w:tabs>
          <w:tab w:val="clear" w:pos="720"/>
          <w:tab w:val="left" w:pos="6629" w:leader="none"/>
          <w:tab w:val="right" w:pos="8320" w:leader="none"/>
        </w:tabs>
        <w:spacing w:lineRule="auto" w:line="480"/>
        <w:rPr/>
      </w:pPr>
      <w:r>
        <w:rPr>
          <w:b/>
          <w:caps/>
          <w:u w:val="single"/>
        </w:rPr>
        <w:t xml:space="preserve">Request No. </w:t>
      </w:r>
      <w:r>
        <w:rPr>
          <w:b/>
          <w:caps/>
          <w:u w:val="single"/>
        </w:rPr>
        <w:fldChar w:fldCharType="begin"/>
      </w:r>
      <w:r>
        <w:rPr>
          <w:caps/>
          <w:u w:val="single"/>
          <w:b/>
        </w:rPr>
        <w:instrText xml:space="preserve"> SEQ AutoNr \* ARABIC </w:instrText>
      </w:r>
      <w:r>
        <w:rPr>
          <w:caps/>
          <w:u w:val="single"/>
          <w:b/>
        </w:rPr>
        <w:fldChar w:fldCharType="separate"/>
      </w:r>
      <w:r>
        <w:rPr>
          <w:caps/>
          <w:u w:val="single"/>
          <w:b/>
        </w:rPr>
        <w:t>8</w:t>
      </w:r>
      <w:r>
        <w:rPr>
          <w:caps/>
          <w:u w:val="single"/>
          <w:b/>
        </w:rPr>
        <w:fldChar w:fldCharType="end"/>
      </w:r>
      <w:r>
        <w:rPr>
          <w:b/>
          <w:caps/>
          <w:u w:val="single"/>
        </w:rPr>
        <w:t>:</w:t>
      </w:r>
    </w:p>
    <w:p>
      <w:pPr>
        <w:pStyle w:val="BodyText"/>
        <w:rPr/>
      </w:pPr>
      <w:r>
        <w:rPr/>
        <w:t>All documents that relate to whether PCA had received any notice of its failure to make timely payments as required under the Master Agreement prior to PCA’s receipt of EPMI’s July 1 Letter.</w:t>
      </w:r>
    </w:p>
    <w:p>
      <w:pPr>
        <w:pStyle w:val="Normal"/>
        <w:keepNext w:val="true"/>
        <w:keepLines/>
        <w:tabs>
          <w:tab w:val="clear" w:pos="720"/>
          <w:tab w:val="left" w:pos="6629" w:leader="none"/>
          <w:tab w:val="right" w:pos="8320" w:leader="none"/>
        </w:tabs>
        <w:spacing w:lineRule="auto" w:line="480"/>
        <w:rPr/>
      </w:pPr>
      <w:r>
        <w:rPr>
          <w:b/>
          <w:caps/>
          <w:u w:val="single"/>
        </w:rPr>
        <w:t xml:space="preserve">Request No. </w:t>
      </w:r>
      <w:r>
        <w:rPr>
          <w:b/>
          <w:caps/>
          <w:u w:val="single"/>
        </w:rPr>
        <w:fldChar w:fldCharType="begin"/>
      </w:r>
      <w:r>
        <w:rPr>
          <w:caps/>
          <w:u w:val="single"/>
          <w:b/>
        </w:rPr>
        <w:instrText xml:space="preserve"> SEQ AutoNr \* ARABIC </w:instrText>
      </w:r>
      <w:r>
        <w:rPr>
          <w:caps/>
          <w:u w:val="single"/>
          <w:b/>
        </w:rPr>
        <w:fldChar w:fldCharType="separate"/>
      </w:r>
      <w:r>
        <w:rPr>
          <w:caps/>
          <w:u w:val="single"/>
          <w:b/>
        </w:rPr>
        <w:t>9</w:t>
      </w:r>
      <w:r>
        <w:rPr>
          <w:caps/>
          <w:u w:val="single"/>
          <w:b/>
        </w:rPr>
        <w:fldChar w:fldCharType="end"/>
      </w:r>
      <w:r>
        <w:rPr>
          <w:b/>
          <w:caps/>
          <w:u w:val="single"/>
        </w:rPr>
        <w:t>:</w:t>
      </w:r>
    </w:p>
    <w:p>
      <w:pPr>
        <w:pStyle w:val="BodyText"/>
        <w:rPr/>
      </w:pPr>
      <w:r>
        <w:rPr/>
        <w:t>All documents that relate to PCA’s failure to pay the PCA May Payable evidenced by the June Invoice on or before June 18, 1998.</w:t>
      </w:r>
    </w:p>
    <w:p>
      <w:pPr>
        <w:pStyle w:val="Normal"/>
        <w:keepNext w:val="true"/>
        <w:keepLines/>
        <w:tabs>
          <w:tab w:val="clear" w:pos="720"/>
          <w:tab w:val="left" w:pos="6629" w:leader="none"/>
          <w:tab w:val="right" w:pos="8320" w:leader="none"/>
        </w:tabs>
        <w:spacing w:lineRule="auto" w:line="480"/>
        <w:rPr/>
      </w:pPr>
      <w:r>
        <w:rPr>
          <w:b/>
          <w:caps/>
          <w:u w:val="single"/>
        </w:rPr>
        <w:t xml:space="preserve">Request No. </w:t>
      </w:r>
      <w:r>
        <w:rPr>
          <w:b/>
          <w:caps/>
          <w:u w:val="single"/>
        </w:rPr>
        <w:fldChar w:fldCharType="begin"/>
      </w:r>
      <w:r>
        <w:rPr>
          <w:caps/>
          <w:u w:val="single"/>
          <w:b/>
        </w:rPr>
        <w:instrText xml:space="preserve"> SEQ AutoNr \* ARABIC </w:instrText>
      </w:r>
      <w:r>
        <w:rPr>
          <w:caps/>
          <w:u w:val="single"/>
          <w:b/>
        </w:rPr>
        <w:fldChar w:fldCharType="separate"/>
      </w:r>
      <w:r>
        <w:rPr>
          <w:caps/>
          <w:u w:val="single"/>
          <w:b/>
        </w:rPr>
        <w:t>10</w:t>
      </w:r>
      <w:r>
        <w:rPr>
          <w:caps/>
          <w:u w:val="single"/>
          <w:b/>
        </w:rPr>
        <w:fldChar w:fldCharType="end"/>
      </w:r>
      <w:r>
        <w:rPr>
          <w:b/>
          <w:caps/>
          <w:u w:val="single"/>
        </w:rPr>
        <w:t>:</w:t>
      </w:r>
    </w:p>
    <w:p>
      <w:pPr>
        <w:pStyle w:val="BodyText"/>
        <w:rPr/>
      </w:pPr>
      <w:r>
        <w:rPr/>
        <w:t>All documents that relate to any contention that PCA was relieved or otherwise excused from making timely payment of the PCA May Payable evidenced by the June Invoice on or before June 18, 1998.</w:t>
      </w:r>
    </w:p>
    <w:p>
      <w:pPr>
        <w:pStyle w:val="Normal"/>
        <w:keepNext w:val="true"/>
        <w:keepLines/>
        <w:tabs>
          <w:tab w:val="clear" w:pos="720"/>
          <w:tab w:val="left" w:pos="6629" w:leader="none"/>
          <w:tab w:val="right" w:pos="8320" w:leader="none"/>
        </w:tabs>
        <w:spacing w:lineRule="auto" w:line="480"/>
        <w:rPr/>
      </w:pPr>
      <w:r>
        <w:rPr>
          <w:b/>
          <w:caps/>
          <w:u w:val="single"/>
        </w:rPr>
        <w:t xml:space="preserve">Request No. </w:t>
      </w:r>
      <w:r>
        <w:rPr>
          <w:b/>
          <w:caps/>
          <w:u w:val="single"/>
        </w:rPr>
        <w:fldChar w:fldCharType="begin"/>
      </w:r>
      <w:r>
        <w:rPr>
          <w:caps/>
          <w:u w:val="single"/>
          <w:b/>
        </w:rPr>
        <w:instrText xml:space="preserve"> SEQ AutoNr \* ARABIC </w:instrText>
      </w:r>
      <w:r>
        <w:rPr>
          <w:caps/>
          <w:u w:val="single"/>
          <w:b/>
        </w:rPr>
        <w:fldChar w:fldCharType="separate"/>
      </w:r>
      <w:r>
        <w:rPr>
          <w:caps/>
          <w:u w:val="single"/>
          <w:b/>
        </w:rPr>
        <w:t>11</w:t>
      </w:r>
      <w:r>
        <w:rPr>
          <w:caps/>
          <w:u w:val="single"/>
          <w:b/>
        </w:rPr>
        <w:fldChar w:fldCharType="end"/>
      </w:r>
      <w:r>
        <w:rPr>
          <w:b/>
          <w:caps/>
          <w:u w:val="single"/>
        </w:rPr>
        <w:t>:</w:t>
      </w:r>
    </w:p>
    <w:p>
      <w:pPr>
        <w:pStyle w:val="BodyText"/>
        <w:rPr/>
      </w:pPr>
      <w:r>
        <w:rPr/>
        <w:t xml:space="preserve">All documents upon which you base your contention that, even if EPMI properly terminated the Pending Transactions, EPMI is still liable to PCA for damages as a result of its termination of the Pending Transactions with PCA.  </w:t>
      </w:r>
    </w:p>
    <w:p>
      <w:pPr>
        <w:pStyle w:val="Normal"/>
        <w:keepNext w:val="true"/>
        <w:keepLines/>
        <w:tabs>
          <w:tab w:val="clear" w:pos="720"/>
          <w:tab w:val="left" w:pos="6629" w:leader="none"/>
          <w:tab w:val="right" w:pos="8320" w:leader="none"/>
        </w:tabs>
        <w:spacing w:lineRule="auto" w:line="480"/>
        <w:rPr/>
      </w:pPr>
      <w:r>
        <w:rPr>
          <w:b/>
          <w:caps/>
          <w:u w:val="single"/>
        </w:rPr>
        <w:t xml:space="preserve">Request No. </w:t>
      </w:r>
      <w:r>
        <w:rPr>
          <w:b/>
          <w:caps/>
          <w:u w:val="single"/>
        </w:rPr>
        <w:fldChar w:fldCharType="begin"/>
      </w:r>
      <w:r>
        <w:rPr>
          <w:caps/>
          <w:u w:val="single"/>
          <w:b/>
        </w:rPr>
        <w:instrText xml:space="preserve"> SEQ AutoNr \* ARABIC </w:instrText>
      </w:r>
      <w:r>
        <w:rPr>
          <w:caps/>
          <w:u w:val="single"/>
          <w:b/>
        </w:rPr>
        <w:fldChar w:fldCharType="separate"/>
      </w:r>
      <w:r>
        <w:rPr>
          <w:caps/>
          <w:u w:val="single"/>
          <w:b/>
        </w:rPr>
        <w:t>12</w:t>
      </w:r>
      <w:r>
        <w:rPr>
          <w:caps/>
          <w:u w:val="single"/>
          <w:b/>
        </w:rPr>
        <w:fldChar w:fldCharType="end"/>
      </w:r>
      <w:r>
        <w:rPr>
          <w:b/>
          <w:caps/>
          <w:u w:val="single"/>
        </w:rPr>
        <w:t>:</w:t>
      </w:r>
    </w:p>
    <w:p>
      <w:pPr>
        <w:pStyle w:val="BodyText"/>
        <w:rPr/>
      </w:pPr>
      <w:r>
        <w:rPr/>
        <w:t xml:space="preserve">All documents that relate to the process, if any, by which all incoming correspondence or facsimiles regarding notices of failure to pay, notices of default, demand for letters of credit, cash prepayments for electric power sales and deliveries, financial security or collateral, or other requests for assurances of PCA’s ability to perform its contractual obligations were recorded or otherwise memorialized by PCA.  </w:t>
      </w:r>
    </w:p>
    <w:p>
      <w:pPr>
        <w:pStyle w:val="Normal"/>
        <w:keepNext w:val="true"/>
        <w:keepLines/>
        <w:tabs>
          <w:tab w:val="clear" w:pos="720"/>
          <w:tab w:val="left" w:pos="6629" w:leader="none"/>
          <w:tab w:val="right" w:pos="8320" w:leader="none"/>
        </w:tabs>
        <w:spacing w:lineRule="auto" w:line="480"/>
        <w:rPr/>
      </w:pPr>
      <w:r>
        <w:rPr>
          <w:b/>
          <w:caps/>
          <w:u w:val="single"/>
        </w:rPr>
        <w:t xml:space="preserve">Request No. </w:t>
      </w:r>
      <w:r>
        <w:rPr>
          <w:b/>
          <w:caps/>
          <w:u w:val="single"/>
        </w:rPr>
        <w:fldChar w:fldCharType="begin"/>
      </w:r>
      <w:r>
        <w:rPr>
          <w:caps/>
          <w:u w:val="single"/>
          <w:b/>
        </w:rPr>
        <w:instrText xml:space="preserve"> SEQ AutoNr \* ARABIC </w:instrText>
      </w:r>
      <w:r>
        <w:rPr>
          <w:caps/>
          <w:u w:val="single"/>
          <w:b/>
        </w:rPr>
        <w:fldChar w:fldCharType="separate"/>
      </w:r>
      <w:r>
        <w:rPr>
          <w:caps/>
          <w:u w:val="single"/>
          <w:b/>
        </w:rPr>
        <w:t>13</w:t>
      </w:r>
      <w:r>
        <w:rPr>
          <w:caps/>
          <w:u w:val="single"/>
          <w:b/>
        </w:rPr>
        <w:fldChar w:fldCharType="end"/>
      </w:r>
      <w:r>
        <w:rPr>
          <w:b/>
          <w:caps/>
          <w:u w:val="single"/>
        </w:rPr>
        <w:t>:</w:t>
      </w:r>
    </w:p>
    <w:p>
      <w:pPr>
        <w:pStyle w:val="BodyText"/>
        <w:rPr/>
      </w:pPr>
      <w:r>
        <w:rPr/>
        <w:t>All documents that identify when PCA ceased conducting regular, ongoing business operations the New York Office.</w:t>
      </w:r>
    </w:p>
    <w:p>
      <w:pPr>
        <w:pStyle w:val="Normal"/>
        <w:keepNext w:val="true"/>
        <w:keepLines/>
        <w:tabs>
          <w:tab w:val="clear" w:pos="720"/>
          <w:tab w:val="left" w:pos="6629" w:leader="none"/>
          <w:tab w:val="right" w:pos="8320" w:leader="none"/>
        </w:tabs>
        <w:spacing w:lineRule="auto" w:line="480"/>
        <w:rPr/>
      </w:pPr>
      <w:r>
        <w:rPr>
          <w:b/>
          <w:caps/>
          <w:u w:val="single"/>
        </w:rPr>
        <w:t xml:space="preserve">Request No. </w:t>
      </w:r>
      <w:r>
        <w:rPr>
          <w:b/>
          <w:caps/>
          <w:u w:val="single"/>
        </w:rPr>
        <w:fldChar w:fldCharType="begin"/>
      </w:r>
      <w:r>
        <w:rPr>
          <w:caps/>
          <w:u w:val="single"/>
          <w:b/>
        </w:rPr>
        <w:instrText xml:space="preserve"> SEQ AutoNr \* ARABIC </w:instrText>
      </w:r>
      <w:r>
        <w:rPr>
          <w:caps/>
          <w:u w:val="single"/>
          <w:b/>
        </w:rPr>
        <w:fldChar w:fldCharType="separate"/>
      </w:r>
      <w:r>
        <w:rPr>
          <w:caps/>
          <w:u w:val="single"/>
          <w:b/>
        </w:rPr>
        <w:t>14</w:t>
      </w:r>
      <w:r>
        <w:rPr>
          <w:caps/>
          <w:u w:val="single"/>
          <w:b/>
        </w:rPr>
        <w:fldChar w:fldCharType="end"/>
      </w:r>
      <w:r>
        <w:rPr>
          <w:b/>
          <w:caps/>
          <w:u w:val="single"/>
        </w:rPr>
        <w:t>:</w:t>
      </w:r>
    </w:p>
    <w:p>
      <w:pPr>
        <w:pStyle w:val="BodyText"/>
        <w:rPr>
          <w:b/>
          <w:caps/>
          <w:u w:val="single"/>
        </w:rPr>
      </w:pPr>
      <w:r>
        <w:rPr/>
        <w:t>All documents that identify which business activities PCA conducted at the New York Office and which business activities PCA conducted at the Connecticut Office and that describe how those businesses activities overlapped or were separate at each office.</w:t>
      </w:r>
    </w:p>
    <w:p>
      <w:pPr>
        <w:pStyle w:val="Normal"/>
        <w:keepNext w:val="true"/>
        <w:keepLines/>
        <w:tabs>
          <w:tab w:val="clear" w:pos="720"/>
          <w:tab w:val="left" w:pos="6629" w:leader="none"/>
          <w:tab w:val="right" w:pos="8320" w:leader="none"/>
        </w:tabs>
        <w:spacing w:lineRule="auto" w:line="480"/>
        <w:rPr/>
      </w:pPr>
      <w:r>
        <w:rPr>
          <w:b/>
          <w:caps/>
          <w:u w:val="single"/>
        </w:rPr>
        <w:t xml:space="preserve">Request No. </w:t>
      </w:r>
      <w:r>
        <w:rPr>
          <w:b/>
          <w:caps/>
          <w:u w:val="single"/>
        </w:rPr>
        <w:fldChar w:fldCharType="begin"/>
      </w:r>
      <w:r>
        <w:rPr>
          <w:caps/>
          <w:u w:val="single"/>
          <w:b/>
        </w:rPr>
        <w:instrText xml:space="preserve"> SEQ AutoNr \* ARABIC </w:instrText>
      </w:r>
      <w:r>
        <w:rPr>
          <w:caps/>
          <w:u w:val="single"/>
          <w:b/>
        </w:rPr>
        <w:fldChar w:fldCharType="separate"/>
      </w:r>
      <w:r>
        <w:rPr>
          <w:caps/>
          <w:u w:val="single"/>
          <w:b/>
        </w:rPr>
        <w:t>15</w:t>
      </w:r>
      <w:r>
        <w:rPr>
          <w:caps/>
          <w:u w:val="single"/>
          <w:b/>
        </w:rPr>
        <w:fldChar w:fldCharType="end"/>
      </w:r>
      <w:r>
        <w:rPr>
          <w:b/>
          <w:caps/>
          <w:u w:val="single"/>
        </w:rPr>
        <w:t>:</w:t>
      </w:r>
    </w:p>
    <w:p>
      <w:pPr>
        <w:pStyle w:val="BodyText"/>
        <w:rPr/>
      </w:pPr>
      <w:r>
        <w:rPr/>
        <w:t>All documents upon which you base your contention that EPMI did not properly terminate the Pending Transactions under the Master Agreement.</w:t>
      </w:r>
    </w:p>
    <w:p>
      <w:pPr>
        <w:pStyle w:val="Normal"/>
        <w:keepNext w:val="true"/>
        <w:keepLines/>
        <w:tabs>
          <w:tab w:val="clear" w:pos="720"/>
          <w:tab w:val="left" w:pos="6629" w:leader="none"/>
          <w:tab w:val="right" w:pos="8320" w:leader="none"/>
        </w:tabs>
        <w:spacing w:lineRule="auto" w:line="480"/>
        <w:rPr/>
      </w:pPr>
      <w:r>
        <w:rPr>
          <w:b/>
          <w:caps/>
          <w:u w:val="single"/>
        </w:rPr>
        <w:t xml:space="preserve">Request No. </w:t>
      </w:r>
      <w:r>
        <w:rPr>
          <w:b/>
          <w:caps/>
          <w:u w:val="single"/>
        </w:rPr>
        <w:fldChar w:fldCharType="begin"/>
      </w:r>
      <w:r>
        <w:rPr>
          <w:caps/>
          <w:u w:val="single"/>
          <w:b/>
        </w:rPr>
        <w:instrText xml:space="preserve"> SEQ AutoNr \* ARABIC </w:instrText>
      </w:r>
      <w:r>
        <w:rPr>
          <w:caps/>
          <w:u w:val="single"/>
          <w:b/>
        </w:rPr>
        <w:fldChar w:fldCharType="separate"/>
      </w:r>
      <w:r>
        <w:rPr>
          <w:caps/>
          <w:u w:val="single"/>
          <w:b/>
        </w:rPr>
        <w:t>16</w:t>
      </w:r>
      <w:r>
        <w:rPr>
          <w:caps/>
          <w:u w:val="single"/>
          <w:b/>
        </w:rPr>
        <w:fldChar w:fldCharType="end"/>
      </w:r>
      <w:r>
        <w:rPr>
          <w:b/>
          <w:caps/>
          <w:u w:val="single"/>
        </w:rPr>
        <w:t>:</w:t>
      </w:r>
    </w:p>
    <w:p>
      <w:pPr>
        <w:pStyle w:val="BodyText"/>
        <w:rPr/>
      </w:pPr>
      <w:r>
        <w:rPr/>
        <w:t>All documents that relate to your calculation of  the amount of damages resulting from EPMI’s alleged wrongful breach and/or termination of the Pending Transactions.</w:t>
      </w:r>
    </w:p>
    <w:p>
      <w:pPr>
        <w:pStyle w:val="Normal"/>
        <w:keepNext w:val="true"/>
        <w:keepLines/>
        <w:tabs>
          <w:tab w:val="clear" w:pos="720"/>
          <w:tab w:val="left" w:pos="6629" w:leader="none"/>
          <w:tab w:val="right" w:pos="8320" w:leader="none"/>
        </w:tabs>
        <w:spacing w:lineRule="auto" w:line="480"/>
        <w:rPr/>
      </w:pPr>
      <w:r>
        <w:rPr>
          <w:b/>
          <w:caps/>
          <w:u w:val="single"/>
        </w:rPr>
        <w:t xml:space="preserve">Request No. </w:t>
      </w:r>
      <w:r>
        <w:rPr>
          <w:b/>
          <w:caps/>
          <w:u w:val="single"/>
        </w:rPr>
        <w:fldChar w:fldCharType="begin"/>
      </w:r>
      <w:r>
        <w:rPr>
          <w:caps/>
          <w:u w:val="single"/>
          <w:b/>
        </w:rPr>
        <w:instrText xml:space="preserve"> SEQ AutoNr \* ARABIC </w:instrText>
      </w:r>
      <w:r>
        <w:rPr>
          <w:caps/>
          <w:u w:val="single"/>
          <w:b/>
        </w:rPr>
        <w:fldChar w:fldCharType="separate"/>
      </w:r>
      <w:r>
        <w:rPr>
          <w:caps/>
          <w:u w:val="single"/>
          <w:b/>
        </w:rPr>
        <w:t>17</w:t>
      </w:r>
      <w:r>
        <w:rPr>
          <w:caps/>
          <w:u w:val="single"/>
          <w:b/>
        </w:rPr>
        <w:fldChar w:fldCharType="end"/>
      </w:r>
      <w:r>
        <w:rPr>
          <w:b/>
          <w:caps/>
          <w:u w:val="single"/>
        </w:rPr>
        <w:t>:</w:t>
      </w:r>
    </w:p>
    <w:p>
      <w:pPr>
        <w:pStyle w:val="BodyText"/>
        <w:rPr/>
      </w:pPr>
      <w:r>
        <w:rPr/>
        <w:t>All documents that relate to your contention that even if EPMI was entitled to terminate the Pending Transactions, EPMI was obligated to “liquidate” the Pending Transactions upon termination, and identify all facts and/or documents that relate to this contention.</w:t>
      </w:r>
    </w:p>
    <w:p>
      <w:pPr>
        <w:pStyle w:val="Normal"/>
        <w:keepNext w:val="true"/>
        <w:keepLines/>
        <w:tabs>
          <w:tab w:val="clear" w:pos="720"/>
          <w:tab w:val="left" w:pos="6629" w:leader="none"/>
          <w:tab w:val="right" w:pos="8320" w:leader="none"/>
        </w:tabs>
        <w:spacing w:lineRule="auto" w:line="480"/>
        <w:rPr/>
      </w:pPr>
      <w:r>
        <w:rPr>
          <w:b/>
          <w:caps/>
          <w:u w:val="single"/>
        </w:rPr>
        <w:t xml:space="preserve">Request No. </w:t>
      </w:r>
      <w:r>
        <w:rPr>
          <w:b/>
          <w:caps/>
          <w:u w:val="single"/>
        </w:rPr>
        <w:fldChar w:fldCharType="begin"/>
      </w:r>
      <w:r>
        <w:rPr>
          <w:caps/>
          <w:u w:val="single"/>
          <w:b/>
        </w:rPr>
        <w:instrText xml:space="preserve"> SEQ AutoNr \* ARABIC </w:instrText>
      </w:r>
      <w:r>
        <w:rPr>
          <w:caps/>
          <w:u w:val="single"/>
          <w:b/>
        </w:rPr>
        <w:fldChar w:fldCharType="separate"/>
      </w:r>
      <w:r>
        <w:rPr>
          <w:caps/>
          <w:u w:val="single"/>
          <w:b/>
        </w:rPr>
        <w:t>18</w:t>
      </w:r>
      <w:r>
        <w:rPr>
          <w:caps/>
          <w:u w:val="single"/>
          <w:b/>
        </w:rPr>
        <w:fldChar w:fldCharType="end"/>
      </w:r>
      <w:r>
        <w:rPr>
          <w:b/>
          <w:caps/>
          <w:u w:val="single"/>
        </w:rPr>
        <w:t>:</w:t>
      </w:r>
    </w:p>
    <w:p>
      <w:pPr>
        <w:pStyle w:val="BodyText"/>
        <w:rPr/>
      </w:pPr>
      <w:r>
        <w:rPr/>
        <w:t>All documents that relate to your calculation the “Liquidation Proceeds” of $4,333,696 in paragraph 17 of the Complaint..</w:t>
      </w:r>
    </w:p>
    <w:p>
      <w:pPr>
        <w:pStyle w:val="Normal"/>
        <w:keepNext w:val="true"/>
        <w:keepLines/>
        <w:tabs>
          <w:tab w:val="clear" w:pos="720"/>
          <w:tab w:val="left" w:pos="6629" w:leader="none"/>
          <w:tab w:val="right" w:pos="8320" w:leader="none"/>
        </w:tabs>
        <w:spacing w:lineRule="auto" w:line="480"/>
        <w:rPr/>
      </w:pPr>
      <w:r>
        <w:rPr>
          <w:b/>
          <w:caps/>
          <w:u w:val="single"/>
        </w:rPr>
        <w:t xml:space="preserve">Request No. </w:t>
      </w:r>
      <w:r>
        <w:rPr>
          <w:b/>
          <w:caps/>
          <w:u w:val="single"/>
        </w:rPr>
        <w:fldChar w:fldCharType="begin"/>
      </w:r>
      <w:r>
        <w:rPr>
          <w:caps/>
          <w:u w:val="single"/>
          <w:b/>
        </w:rPr>
        <w:instrText xml:space="preserve"> SEQ AutoNr \* ARABIC </w:instrText>
      </w:r>
      <w:r>
        <w:rPr>
          <w:caps/>
          <w:u w:val="single"/>
          <w:b/>
        </w:rPr>
        <w:fldChar w:fldCharType="separate"/>
      </w:r>
      <w:r>
        <w:rPr>
          <w:caps/>
          <w:u w:val="single"/>
          <w:b/>
        </w:rPr>
        <w:t>19</w:t>
      </w:r>
      <w:r>
        <w:rPr>
          <w:caps/>
          <w:u w:val="single"/>
          <w:b/>
        </w:rPr>
        <w:fldChar w:fldCharType="end"/>
      </w:r>
      <w:r>
        <w:rPr>
          <w:b/>
          <w:caps/>
          <w:u w:val="single"/>
        </w:rPr>
        <w:t>:</w:t>
      </w:r>
    </w:p>
    <w:p>
      <w:pPr>
        <w:pStyle w:val="BodyText"/>
        <w:rPr/>
      </w:pPr>
      <w:r>
        <w:rPr/>
        <w:t>All documents that relate to your contention that EPMI’s proof of claim is overstated.</w:t>
      </w:r>
    </w:p>
    <w:p>
      <w:pPr>
        <w:pStyle w:val="Normal"/>
        <w:keepNext w:val="true"/>
        <w:keepLines/>
        <w:tabs>
          <w:tab w:val="clear" w:pos="720"/>
          <w:tab w:val="left" w:pos="6629" w:leader="none"/>
          <w:tab w:val="right" w:pos="8320" w:leader="none"/>
        </w:tabs>
        <w:spacing w:lineRule="auto" w:line="480"/>
        <w:rPr/>
      </w:pPr>
      <w:r>
        <w:rPr>
          <w:b/>
          <w:caps/>
          <w:u w:val="single"/>
        </w:rPr>
        <w:t xml:space="preserve">Request No. </w:t>
      </w:r>
      <w:r>
        <w:rPr>
          <w:b/>
          <w:caps/>
          <w:u w:val="single"/>
        </w:rPr>
        <w:fldChar w:fldCharType="begin"/>
      </w:r>
      <w:r>
        <w:rPr>
          <w:caps/>
          <w:u w:val="single"/>
          <w:b/>
        </w:rPr>
        <w:instrText xml:space="preserve"> SEQ AutoNr \* ARABIC </w:instrText>
      </w:r>
      <w:r>
        <w:rPr>
          <w:caps/>
          <w:u w:val="single"/>
          <w:b/>
        </w:rPr>
        <w:fldChar w:fldCharType="separate"/>
      </w:r>
      <w:r>
        <w:rPr>
          <w:caps/>
          <w:u w:val="single"/>
          <w:b/>
        </w:rPr>
        <w:t>20</w:t>
      </w:r>
      <w:r>
        <w:rPr>
          <w:caps/>
          <w:u w:val="single"/>
          <w:b/>
        </w:rPr>
        <w:fldChar w:fldCharType="end"/>
      </w:r>
      <w:r>
        <w:rPr>
          <w:b/>
          <w:caps/>
          <w:u w:val="single"/>
        </w:rPr>
        <w:t>:</w:t>
      </w:r>
    </w:p>
    <w:p>
      <w:pPr>
        <w:pStyle w:val="BodyText"/>
        <w:rPr/>
      </w:pPr>
      <w:r>
        <w:rPr/>
        <w:t>All documents that relate to your contention that PCA substantially performed its obligations under the Pending Transactions as alleged in paragraph 24 of the Complaint.</w:t>
      </w:r>
    </w:p>
    <w:p>
      <w:pPr>
        <w:pStyle w:val="Normal"/>
        <w:keepNext w:val="true"/>
        <w:keepLines/>
        <w:tabs>
          <w:tab w:val="clear" w:pos="720"/>
          <w:tab w:val="left" w:pos="6629" w:leader="none"/>
          <w:tab w:val="right" w:pos="8320" w:leader="none"/>
        </w:tabs>
        <w:spacing w:lineRule="auto" w:line="480"/>
        <w:rPr/>
      </w:pPr>
      <w:r>
        <w:rPr>
          <w:b/>
          <w:caps/>
          <w:u w:val="single"/>
        </w:rPr>
        <w:t xml:space="preserve">Request No. </w:t>
      </w:r>
      <w:r>
        <w:rPr>
          <w:b/>
          <w:caps/>
          <w:u w:val="single"/>
        </w:rPr>
        <w:fldChar w:fldCharType="begin"/>
      </w:r>
      <w:r>
        <w:rPr>
          <w:caps/>
          <w:u w:val="single"/>
          <w:b/>
        </w:rPr>
        <w:instrText xml:space="preserve"> SEQ AutoNr \* ARABIC </w:instrText>
      </w:r>
      <w:r>
        <w:rPr>
          <w:caps/>
          <w:u w:val="single"/>
          <w:b/>
        </w:rPr>
        <w:fldChar w:fldCharType="separate"/>
      </w:r>
      <w:r>
        <w:rPr>
          <w:caps/>
          <w:u w:val="single"/>
          <w:b/>
        </w:rPr>
        <w:t>21</w:t>
      </w:r>
      <w:r>
        <w:rPr>
          <w:caps/>
          <w:u w:val="single"/>
          <w:b/>
        </w:rPr>
        <w:fldChar w:fldCharType="end"/>
      </w:r>
      <w:r>
        <w:rPr>
          <w:b/>
          <w:caps/>
          <w:u w:val="single"/>
        </w:rPr>
        <w:t>:</w:t>
      </w:r>
    </w:p>
    <w:p>
      <w:pPr>
        <w:pStyle w:val="BodyText"/>
        <w:rPr/>
      </w:pPr>
      <w:r>
        <w:rPr/>
        <w:t>All documents  that support your contention that EPMI was not entitled to withhold from PCA the electric power that EPMI had allegedly agreed to deliver to PCA.</w:t>
      </w:r>
    </w:p>
    <w:p>
      <w:pPr>
        <w:pStyle w:val="BodyText"/>
        <w:ind w:hanging="0" w:end="0"/>
        <w:rPr>
          <w:b/>
          <w:u w:val="single"/>
        </w:rPr>
      </w:pPr>
      <w:r>
        <w:rPr>
          <w:b/>
          <w:u w:val="single"/>
        </w:rPr>
        <w:t>REQUEST NO. 22:</w:t>
      </w:r>
    </w:p>
    <w:p>
      <w:pPr>
        <w:pStyle w:val="BodyText"/>
        <w:ind w:hanging="0" w:end="0"/>
        <w:rPr/>
      </w:pPr>
      <w:r>
        <w:rPr>
          <w:b/>
        </w:rPr>
        <w:tab/>
      </w:r>
      <w:r>
        <w:rPr/>
        <w:t>All documents that relate to your contention that EPMI received a preferential payment as set forth in paragraphs 32-38 of the Complaint.</w:t>
      </w:r>
    </w:p>
    <w:p>
      <w:pPr>
        <w:pStyle w:val="BodyText"/>
        <w:ind w:hanging="0" w:end="0"/>
        <w:rPr>
          <w:b/>
          <w:u w:val="single"/>
        </w:rPr>
      </w:pPr>
      <w:r>
        <w:rPr>
          <w:b/>
          <w:u w:val="single"/>
        </w:rPr>
        <w:t>REQUEST NO. 23:</w:t>
      </w:r>
    </w:p>
    <w:p>
      <w:pPr>
        <w:pStyle w:val="BodyText"/>
        <w:ind w:hanging="0" w:end="0"/>
        <w:rPr/>
      </w:pPr>
      <w:r>
        <w:rPr/>
        <w:tab/>
        <w:t>All documents that relate to your contention that EPMI was unjustly enriched by its termination of the Pending Transactions.</w:t>
      </w:r>
    </w:p>
    <w:p>
      <w:pPr>
        <w:pStyle w:val="BodyText"/>
        <w:ind w:hanging="0" w:end="0"/>
        <w:rPr>
          <w:b/>
          <w:u w:val="single"/>
        </w:rPr>
      </w:pPr>
      <w:r>
        <w:rPr>
          <w:b/>
          <w:u w:val="single"/>
        </w:rPr>
        <w:t>REQUEST NO. 24:</w:t>
      </w:r>
    </w:p>
    <w:p>
      <w:pPr>
        <w:pStyle w:val="BodyText"/>
        <w:ind w:hanging="0" w:end="0"/>
        <w:rPr/>
      </w:pPr>
      <w:r>
        <w:rPr/>
        <w:tab/>
        <w:t>All documents that relate to the transactions that you contend were pending as of July 7, 1998.</w:t>
      </w:r>
      <w:r>
        <w:br w:type="page"/>
      </w:r>
    </w:p>
    <w:p>
      <w:pPr>
        <w:pStyle w:val="BodyText"/>
        <w:ind w:hanging="0" w:end="0"/>
        <w:rPr/>
      </w:pPr>
      <w:r>
        <w:rPr/>
        <w:t>Dated:</w:t>
        <w:tab/>
        <w:t>Bridgeport, Connecticut</w:t>
      </w:r>
    </w:p>
    <w:p>
      <w:pPr>
        <w:pStyle w:val="Normal"/>
        <w:spacing w:before="0" w:after="360"/>
        <w:ind w:start="720" w:end="0"/>
        <w:rPr/>
      </w:pPr>
      <w:r>
        <w:rPr/>
        <w:t>January ___, 2001</w:t>
      </w:r>
    </w:p>
    <w:p>
      <w:pPr>
        <w:pStyle w:val="Signature"/>
        <w:rPr/>
      </w:pPr>
      <w:r>
        <w:rPr/>
        <w:t>Respectfully submitted,</w:t>
      </w:r>
    </w:p>
    <w:p>
      <w:pPr>
        <w:pStyle w:val="Signature"/>
        <w:spacing w:before="0" w:after="480"/>
        <w:rPr/>
      </w:pPr>
      <w:r>
        <w:rPr/>
        <w:t>PULLMAN &amp; COMLEY, L.L.C.</w:t>
      </w:r>
    </w:p>
    <w:p>
      <w:pPr>
        <w:pStyle w:val="Signature"/>
        <w:spacing w:before="0" w:after="0"/>
        <w:rPr/>
      </w:pPr>
      <w:r>
        <w:rPr/>
        <w:t>By:______________________________________</w:t>
      </w:r>
    </w:p>
    <w:p>
      <w:pPr>
        <w:pStyle w:val="Signature"/>
        <w:tabs>
          <w:tab w:val="clear" w:pos="720"/>
          <w:tab w:val="right" w:pos="9360" w:leader="none"/>
        </w:tabs>
        <w:spacing w:before="0" w:after="0"/>
        <w:ind w:start="4680" w:end="0"/>
        <w:rPr/>
      </w:pPr>
      <w:r>
        <w:rPr/>
        <w:t>Elizabeth J. Austin</w:t>
      </w:r>
    </w:p>
    <w:p>
      <w:pPr>
        <w:pStyle w:val="Signature"/>
        <w:tabs>
          <w:tab w:val="clear" w:pos="720"/>
          <w:tab w:val="right" w:pos="9360" w:leader="none"/>
        </w:tabs>
        <w:spacing w:before="0" w:after="0"/>
        <w:ind w:start="4680" w:end="0"/>
        <w:rPr/>
      </w:pPr>
      <w:r>
        <w:rPr/>
        <w:t>Federal Bar No. (ct04384)</w:t>
      </w:r>
    </w:p>
    <w:p>
      <w:pPr>
        <w:pStyle w:val="Signature"/>
        <w:tabs>
          <w:tab w:val="clear" w:pos="720"/>
          <w:tab w:val="right" w:pos="9360" w:leader="none"/>
        </w:tabs>
        <w:spacing w:before="0" w:after="0"/>
        <w:ind w:start="4680" w:end="0"/>
        <w:rPr/>
      </w:pPr>
      <w:r>
        <w:rPr/>
        <w:t>850 Main Street</w:t>
      </w:r>
    </w:p>
    <w:p>
      <w:pPr>
        <w:pStyle w:val="Signature"/>
        <w:tabs>
          <w:tab w:val="clear" w:pos="720"/>
          <w:tab w:val="right" w:pos="9360" w:leader="none"/>
        </w:tabs>
        <w:spacing w:before="0" w:after="0"/>
        <w:ind w:start="4680" w:end="0"/>
        <w:rPr/>
      </w:pPr>
      <w:r>
        <w:rPr/>
        <w:t>Bridgeport, CT  06601-7006</w:t>
      </w:r>
    </w:p>
    <w:p>
      <w:pPr>
        <w:pStyle w:val="Signature"/>
        <w:tabs>
          <w:tab w:val="clear" w:pos="720"/>
          <w:tab w:val="right" w:pos="9360" w:leader="none"/>
        </w:tabs>
        <w:spacing w:before="0" w:after="0"/>
        <w:ind w:start="4680" w:end="0"/>
        <w:rPr/>
      </w:pPr>
      <w:r>
        <w:rPr/>
        <w:t>(203) 330-2000 (telephone)</w:t>
      </w:r>
    </w:p>
    <w:p>
      <w:pPr>
        <w:pStyle w:val="Signature"/>
        <w:tabs>
          <w:tab w:val="clear" w:pos="720"/>
          <w:tab w:val="right" w:pos="9360" w:leader="none"/>
        </w:tabs>
        <w:spacing w:before="0" w:after="0"/>
        <w:ind w:start="4680" w:end="0"/>
        <w:rPr/>
      </w:pPr>
      <w:r>
        <w:rPr/>
        <w:t>(203) 576-888 (facsimile)</w:t>
      </w:r>
    </w:p>
    <w:p>
      <w:pPr>
        <w:pStyle w:val="Signature"/>
        <w:spacing w:before="120" w:after="120"/>
        <w:ind w:start="5760" w:end="0"/>
        <w:rPr/>
      </w:pPr>
      <w:r>
        <w:rPr/>
        <w:t xml:space="preserve">- and - </w:t>
      </w:r>
    </w:p>
    <w:p>
      <w:pPr>
        <w:pStyle w:val="Signature"/>
        <w:spacing w:before="0" w:after="0"/>
        <w:rPr/>
      </w:pPr>
      <w:r>
        <w:rPr/>
        <w:t>WEIL, GOTSHAL &amp; MANGES LLP</w:t>
      </w:r>
    </w:p>
    <w:p>
      <w:pPr>
        <w:pStyle w:val="Signature"/>
        <w:tabs>
          <w:tab w:val="clear" w:pos="720"/>
          <w:tab w:val="right" w:pos="9360" w:leader="none"/>
        </w:tabs>
        <w:spacing w:before="0" w:after="0"/>
        <w:ind w:start="4680" w:end="0"/>
        <w:rPr/>
      </w:pPr>
      <w:r>
        <w:rPr/>
        <w:t>Melanie Gray</w:t>
      </w:r>
    </w:p>
    <w:p>
      <w:pPr>
        <w:pStyle w:val="Signature"/>
        <w:tabs>
          <w:tab w:val="clear" w:pos="720"/>
          <w:tab w:val="right" w:pos="9360" w:leader="none"/>
        </w:tabs>
        <w:spacing w:before="0" w:after="0"/>
        <w:ind w:start="4680" w:end="0"/>
        <w:rPr/>
      </w:pPr>
      <w:r>
        <w:rPr/>
        <w:t>State Bar No. 08327980</w:t>
      </w:r>
    </w:p>
    <w:p>
      <w:pPr>
        <w:pStyle w:val="Signature"/>
        <w:tabs>
          <w:tab w:val="clear" w:pos="720"/>
          <w:tab w:val="right" w:pos="9360" w:leader="none"/>
        </w:tabs>
        <w:spacing w:before="0" w:after="0"/>
        <w:ind w:start="4680" w:end="0"/>
        <w:rPr/>
      </w:pPr>
      <w:r>
        <w:rPr/>
        <w:t>S.D. Tex. No. 2650</w:t>
      </w:r>
    </w:p>
    <w:p>
      <w:pPr>
        <w:pStyle w:val="Signature"/>
        <w:tabs>
          <w:tab w:val="clear" w:pos="720"/>
          <w:tab w:val="right" w:pos="9360" w:leader="none"/>
        </w:tabs>
        <w:spacing w:before="0" w:after="0"/>
        <w:ind w:start="4680" w:end="0"/>
        <w:rPr/>
      </w:pPr>
      <w:r>
        <w:rPr/>
        <w:t>700 Louisiana, Suite 1600</w:t>
      </w:r>
    </w:p>
    <w:p>
      <w:pPr>
        <w:pStyle w:val="Signature"/>
        <w:tabs>
          <w:tab w:val="clear" w:pos="720"/>
          <w:tab w:val="right" w:pos="9360" w:leader="none"/>
        </w:tabs>
        <w:spacing w:before="0" w:after="0"/>
        <w:ind w:start="4680" w:end="0"/>
        <w:rPr/>
      </w:pPr>
      <w:r>
        <w:rPr/>
        <w:t>Houston, Texas  77002</w:t>
      </w:r>
    </w:p>
    <w:p>
      <w:pPr>
        <w:pStyle w:val="Signature"/>
        <w:tabs>
          <w:tab w:val="clear" w:pos="720"/>
          <w:tab w:val="right" w:pos="9360" w:leader="none"/>
        </w:tabs>
        <w:spacing w:before="0" w:after="0"/>
        <w:ind w:start="4680" w:end="0"/>
        <w:rPr/>
      </w:pPr>
      <w:r>
        <w:rPr/>
        <w:t>(713) 546-5000 (telephone)</w:t>
      </w:r>
    </w:p>
    <w:p>
      <w:pPr>
        <w:pStyle w:val="Signature"/>
        <w:tabs>
          <w:tab w:val="clear" w:pos="720"/>
          <w:tab w:val="right" w:pos="9360" w:leader="none"/>
        </w:tabs>
        <w:spacing w:before="0" w:after="0"/>
        <w:ind w:start="4680" w:end="0"/>
        <w:rPr/>
      </w:pPr>
      <w:r>
        <w:rPr/>
        <w:t>(713) 224-9511 (facsimile)</w:t>
      </w:r>
    </w:p>
    <w:p>
      <w:pPr>
        <w:pStyle w:val="Signature"/>
        <w:tabs>
          <w:tab w:val="clear" w:pos="720"/>
          <w:tab w:val="right" w:pos="9360" w:leader="none"/>
        </w:tabs>
        <w:spacing w:before="240" w:after="0"/>
        <w:rPr/>
      </w:pPr>
      <w:r>
        <w:rPr/>
        <w:t>Counsel for Enron Power Marketing, Inc.</w:t>
      </w:r>
    </w:p>
    <w:p>
      <w:pPr>
        <w:pStyle w:val="Signature"/>
        <w:tabs>
          <w:tab w:val="clear" w:pos="720"/>
          <w:tab w:val="right" w:pos="9360" w:leader="none"/>
        </w:tabs>
        <w:spacing w:before="240" w:after="0"/>
        <w:rPr/>
      </w:pPr>
      <w:r>
        <w:rPr/>
      </w:r>
      <w:r>
        <w:br w:type="page"/>
      </w:r>
    </w:p>
    <w:p>
      <w:pPr>
        <w:pStyle w:val="Signature"/>
        <w:tabs>
          <w:tab w:val="clear" w:pos="720"/>
          <w:tab w:val="right" w:pos="9360" w:leader="none"/>
        </w:tabs>
        <w:spacing w:before="0" w:after="0"/>
        <w:ind w:start="4680" w:end="0"/>
        <w:rPr/>
      </w:pPr>
      <w:r>
        <w:rPr/>
      </w:r>
    </w:p>
    <w:p>
      <w:pPr>
        <w:pStyle w:val="Signature"/>
        <w:tabs>
          <w:tab w:val="clear" w:pos="720"/>
          <w:tab w:val="right" w:pos="9360" w:leader="none"/>
        </w:tabs>
        <w:spacing w:before="0" w:after="0"/>
        <w:ind w:start="0" w:end="0"/>
        <w:jc w:val="center"/>
        <w:rPr>
          <w:b/>
          <w:u w:val="single"/>
        </w:rPr>
      </w:pPr>
      <w:r>
        <w:rPr>
          <w:b/>
          <w:u w:val="single"/>
        </w:rPr>
        <w:t>CERTIFICATE OF SERVICE</w:t>
      </w:r>
    </w:p>
    <w:p>
      <w:pPr>
        <w:pStyle w:val="Signature"/>
        <w:tabs>
          <w:tab w:val="clear" w:pos="720"/>
          <w:tab w:val="right" w:pos="9360" w:leader="none"/>
        </w:tabs>
        <w:spacing w:before="0" w:after="0"/>
        <w:ind w:start="0" w:end="0"/>
        <w:jc w:val="center"/>
        <w:rPr>
          <w:b/>
          <w:u w:val="single"/>
        </w:rPr>
      </w:pPr>
      <w:r>
        <w:rPr>
          <w:b/>
          <w:u w:val="single"/>
        </w:rPr>
      </w:r>
    </w:p>
    <w:p>
      <w:pPr>
        <w:pStyle w:val="BodyText2"/>
        <w:rPr/>
      </w:pPr>
      <w:r>
        <w:rPr/>
        <w:t xml:space="preserve">I hereby certify that a true and correct copy of the foregoing </w:t>
      </w:r>
      <w:r>
        <w:rPr>
          <w:rFonts w:cs="Times New Roman Bold;Times New Roman" w:ascii="Times New Roman Bold;Times New Roman" w:hAnsi="Times New Roman Bold;Times New Roman"/>
          <w:b/>
        </w:rPr>
        <w:t xml:space="preserve">Enron Power Marketing, Inc.’s First Request for Production </w:t>
      </w:r>
      <w:r>
        <w:rPr/>
        <w:t>was served on the following counsel of record via certified mail, return receipt requested on January ___, 2001:</w:t>
      </w:r>
    </w:p>
    <w:p>
      <w:pPr>
        <w:pStyle w:val="Signature"/>
        <w:spacing w:before="0" w:after="0"/>
        <w:ind w:start="0" w:end="0"/>
        <w:rPr/>
      </w:pPr>
      <w:r>
        <w:rPr/>
      </w:r>
    </w:p>
    <w:p>
      <w:pPr>
        <w:pStyle w:val="Signature"/>
        <w:tabs>
          <w:tab w:val="clear" w:pos="720"/>
          <w:tab w:val="decimal" w:pos="-2160" w:leader="none"/>
        </w:tabs>
        <w:spacing w:before="0" w:after="0"/>
        <w:ind w:start="1440" w:end="0"/>
        <w:rPr>
          <w:b/>
          <w:i/>
          <w:i/>
        </w:rPr>
      </w:pPr>
      <w:r>
        <w:rPr>
          <w:b/>
          <w:i/>
        </w:rPr>
        <w:t>Via CMRRR</w:t>
      </w:r>
    </w:p>
    <w:p>
      <w:pPr>
        <w:pStyle w:val="Signature"/>
        <w:tabs>
          <w:tab w:val="clear" w:pos="720"/>
          <w:tab w:val="decimal" w:pos="-2160" w:leader="none"/>
        </w:tabs>
        <w:spacing w:before="0" w:after="0"/>
        <w:ind w:start="1440" w:end="0"/>
        <w:rPr/>
      </w:pPr>
      <w:r>
        <w:rPr/>
        <w:t>Craig I. Lifland</w:t>
      </w:r>
    </w:p>
    <w:p>
      <w:pPr>
        <w:pStyle w:val="Signature"/>
        <w:tabs>
          <w:tab w:val="clear" w:pos="720"/>
          <w:tab w:val="decimal" w:pos="-2160" w:leader="none"/>
        </w:tabs>
        <w:spacing w:before="0" w:after="0"/>
        <w:ind w:start="1440" w:end="0"/>
        <w:rPr/>
      </w:pPr>
      <w:r>
        <w:rPr/>
        <w:t>Zeisler &amp; Zeisler, P.C.</w:t>
      </w:r>
    </w:p>
    <w:p>
      <w:pPr>
        <w:pStyle w:val="Signature"/>
        <w:tabs>
          <w:tab w:val="clear" w:pos="720"/>
          <w:tab w:val="decimal" w:pos="-2160" w:leader="none"/>
        </w:tabs>
        <w:spacing w:before="0" w:after="0"/>
        <w:ind w:start="1440" w:end="0"/>
        <w:rPr/>
      </w:pPr>
      <w:r>
        <w:rPr/>
        <w:t>558 Clinton Avenue</w:t>
      </w:r>
    </w:p>
    <w:p>
      <w:pPr>
        <w:pStyle w:val="Signature"/>
        <w:tabs>
          <w:tab w:val="clear" w:pos="720"/>
          <w:tab w:val="decimal" w:pos="-2160" w:leader="none"/>
        </w:tabs>
        <w:spacing w:before="0" w:after="0"/>
        <w:ind w:start="1440" w:end="0"/>
        <w:rPr/>
      </w:pPr>
      <w:r>
        <w:rPr/>
        <w:t>Bridgeport, Connecticut 06605</w:t>
      </w:r>
    </w:p>
    <w:p>
      <w:pPr>
        <w:pStyle w:val="Signature"/>
        <w:tabs>
          <w:tab w:val="clear" w:pos="720"/>
          <w:tab w:val="decimal" w:pos="-2160" w:leader="none"/>
        </w:tabs>
        <w:spacing w:before="0" w:after="0"/>
        <w:ind w:start="1440" w:end="0"/>
        <w:rPr/>
      </w:pPr>
      <w:r>
        <w:rPr/>
        <w:t>(203) 368-4234</w:t>
      </w:r>
    </w:p>
    <w:p>
      <w:pPr>
        <w:pStyle w:val="Signature"/>
        <w:tabs>
          <w:tab w:val="clear" w:pos="720"/>
          <w:tab w:val="decimal" w:pos="-2160" w:leader="none"/>
        </w:tabs>
        <w:spacing w:before="0" w:after="0"/>
        <w:ind w:start="1440" w:end="0"/>
        <w:rPr>
          <w:i/>
          <w:i/>
        </w:rPr>
      </w:pPr>
      <w:r>
        <w:rPr>
          <w:i/>
        </w:rPr>
        <w:t>Co Counsel for the PCA Liquidating Trust</w:t>
      </w:r>
    </w:p>
    <w:p>
      <w:pPr>
        <w:pStyle w:val="Signature"/>
        <w:spacing w:before="0" w:after="0"/>
        <w:ind w:start="0" w:end="0"/>
        <w:rPr>
          <w:i/>
          <w:i/>
        </w:rPr>
      </w:pPr>
      <w:r>
        <w:rPr>
          <w:i/>
        </w:rPr>
      </w:r>
    </w:p>
    <w:p>
      <w:pPr>
        <w:pStyle w:val="Signature"/>
        <w:spacing w:before="0" w:after="0"/>
        <w:ind w:start="1440" w:end="0"/>
        <w:rPr>
          <w:b/>
          <w:i/>
          <w:i/>
        </w:rPr>
      </w:pPr>
      <w:r>
        <w:rPr>
          <w:b/>
          <w:i/>
        </w:rPr>
        <w:t>Via CMRRR</w:t>
      </w:r>
    </w:p>
    <w:p>
      <w:pPr>
        <w:pStyle w:val="Signature"/>
        <w:spacing w:before="0" w:after="0"/>
        <w:ind w:start="1440" w:end="0"/>
        <w:rPr/>
      </w:pPr>
      <w:r>
        <w:rPr/>
        <w:t>Herb S. Edelman</w:t>
      </w:r>
    </w:p>
    <w:p>
      <w:pPr>
        <w:pStyle w:val="Signature"/>
        <w:spacing w:before="0" w:after="0"/>
        <w:ind w:start="1440" w:end="0"/>
        <w:rPr/>
      </w:pPr>
      <w:r>
        <w:rPr/>
        <w:t>Jane W. Parver</w:t>
      </w:r>
    </w:p>
    <w:p>
      <w:pPr>
        <w:pStyle w:val="Signature"/>
        <w:spacing w:before="0" w:after="0"/>
        <w:ind w:start="1440" w:end="0"/>
        <w:rPr/>
      </w:pPr>
      <w:r>
        <w:rPr/>
        <w:t>Kaye, Scholer, Fierman, Hays &amp; Handler, L.L.P.</w:t>
      </w:r>
    </w:p>
    <w:p>
      <w:pPr>
        <w:pStyle w:val="Signature"/>
        <w:spacing w:before="0" w:after="0"/>
        <w:ind w:start="1440" w:end="0"/>
        <w:rPr/>
      </w:pPr>
      <w:r>
        <w:rPr/>
        <w:t>425 Park Avenue</w:t>
      </w:r>
    </w:p>
    <w:p>
      <w:pPr>
        <w:pStyle w:val="Signature"/>
        <w:spacing w:before="0" w:after="0"/>
        <w:ind w:start="1440" w:end="0"/>
        <w:rPr/>
      </w:pPr>
      <w:r>
        <w:rPr/>
        <w:t>New York, New York  10022</w:t>
      </w:r>
    </w:p>
    <w:p>
      <w:pPr>
        <w:pStyle w:val="Signature"/>
        <w:spacing w:before="0" w:after="0"/>
        <w:ind w:start="1440" w:end="0"/>
        <w:rPr>
          <w:i/>
          <w:i/>
        </w:rPr>
      </w:pPr>
      <w:r>
        <w:rPr>
          <w:i/>
        </w:rPr>
        <w:t>Co Counsel for the PCA Liquidating Trust</w:t>
      </w:r>
    </w:p>
    <w:p>
      <w:pPr>
        <w:pStyle w:val="Signature"/>
        <w:spacing w:before="0" w:after="0"/>
        <w:ind w:start="0" w:end="0"/>
        <w:rPr>
          <w:i/>
          <w:i/>
        </w:rPr>
      </w:pPr>
      <w:r>
        <w:rPr>
          <w:i/>
        </w:rPr>
      </w:r>
    </w:p>
    <w:p>
      <w:pPr>
        <w:pStyle w:val="Signature"/>
        <w:spacing w:before="0" w:after="0"/>
        <w:ind w:start="0" w:end="0"/>
        <w:rPr>
          <w:i/>
          <w:i/>
        </w:rPr>
      </w:pPr>
      <w:r>
        <w:rPr>
          <w:i/>
        </w:rPr>
      </w:r>
    </w:p>
    <w:p>
      <w:pPr>
        <w:pStyle w:val="Signature"/>
        <w:spacing w:before="0" w:after="0"/>
        <w:rPr>
          <w:i/>
          <w:i/>
        </w:rPr>
      </w:pPr>
      <w:r>
        <w:rPr>
          <w:i/>
        </w:rPr>
        <w:t>__________________________________________</w:t>
      </w:r>
    </w:p>
    <w:p>
      <w:pPr>
        <w:pStyle w:val="Signature"/>
        <w:spacing w:before="0" w:after="0"/>
        <w:rPr/>
      </w:pPr>
      <w:r>
        <w:rPr/>
        <w:t>Elizabeth J. Austin</w:t>
      </w:r>
    </w:p>
    <w:p>
      <w:pPr>
        <w:pStyle w:val="Normal"/>
        <w:rPr/>
      </w:pPr>
      <w:r>
        <w:rPr/>
      </w:r>
    </w:p>
    <w:p>
      <w:pPr>
        <w:pStyle w:val="Heading"/>
        <w:spacing w:before="0" w:after="240"/>
        <w:rPr/>
      </w:pPr>
      <w:r>
        <w:rPr/>
      </w:r>
    </w:p>
    <w:sectPr>
      <w:footerReference w:type="default" r:id="rId2"/>
      <w:footerReference w:type="first" r:id="rId3"/>
      <w:type w:val="nextPage"/>
      <w:pgSz w:w="12240" w:h="15840"/>
      <w:pgMar w:left="1440" w:right="1440" w:gutter="0" w:header="0" w:top="1440"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EngraversGothic B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spacing w:before="240" w:after="0"/>
      <w:jc w:val="start"/>
      <w:rPr>
        <w:rFonts w:ascii="Times New Roman Bold;Times New Roman" w:hAnsi="Times New Roman Bold;Times New Roman" w:cs="Times New Roman Bold;Times New Roman"/>
        <w:smallCaps/>
        <w:sz w:val="20"/>
      </w:rPr>
    </w:pPr>
    <w:r>
      <w:rPr>
        <w:rFonts w:cs="Times New Roman Bold;Times New Roman" w:ascii="Times New Roman Bold;Times New Roman" w:hAnsi="Times New Roman Bold;Times New Roman"/>
        <w:smallCaps/>
        <w:sz w:val="20"/>
        <w:u w:val="single"/>
      </w:rPr>
      <w:t>Enron Power Marketing, Inc.’s First Request For Production</w:t>
    </w:r>
    <w:r>
      <w:rPr>
        <w:rFonts w:cs="Times New Roman Bold;Times New Roman" w:ascii="Times New Roman Bold;Times New Roman" w:hAnsi="Times New Roman Bold;Times New Roman"/>
        <w:smallCaps/>
        <w:sz w:val="20"/>
      </w:rPr>
      <w:t xml:space="preserve"> – Page </w:t>
    </w:r>
    <w:r>
      <w:rPr>
        <w:rStyle w:val="PageNumber"/>
        <w:b/>
        <w:sz w:val="20"/>
      </w:rPr>
      <w:fldChar w:fldCharType="begin"/>
    </w:r>
    <w:r>
      <w:rPr>
        <w:rStyle w:val="PageNumber"/>
        <w:sz w:val="20"/>
        <w:b/>
      </w:rPr>
      <w:instrText xml:space="preserve"> PAGE </w:instrText>
    </w:r>
    <w:r>
      <w:rPr>
        <w:rStyle w:val="PageNumber"/>
        <w:sz w:val="20"/>
        <w:b/>
      </w:rPr>
      <w:fldChar w:fldCharType="separate"/>
    </w:r>
    <w:r>
      <w:rPr>
        <w:rStyle w:val="PageNumber"/>
        <w:sz w:val="20"/>
        <w:b/>
      </w:rPr>
      <w:t>8</w:t>
    </w:r>
    <w:r>
      <w:rPr>
        <w:rStyle w:val="PageNumber"/>
        <w:sz w:val="20"/>
        <w:b/>
      </w:rPr>
      <w:fldChar w:fldCharType="end"/>
    </w:r>
  </w:p>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C:\MY DOCUMENTS\HO1-221463-EPMI's First Request for Production.DOC</w:t>
    </w:r>
    <w:r>
      <w:rPr>
        <w:rStyle w:val="TrailerWGM"/>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spacing w:before="240" w:after="0"/>
      <w:jc w:val="start"/>
      <w:rPr>
        <w:rFonts w:ascii="Times New Roman Bold;Times New Roman" w:hAnsi="Times New Roman Bold;Times New Roman" w:cs="Times New Roman Bold;Times New Roman"/>
        <w:smallCaps/>
        <w:sz w:val="20"/>
      </w:rPr>
    </w:pPr>
    <w:r>
      <w:rPr>
        <w:rFonts w:cs="Times New Roman Bold;Times New Roman" w:ascii="Times New Roman Bold;Times New Roman" w:hAnsi="Times New Roman Bold;Times New Roman"/>
        <w:smallCaps/>
        <w:sz w:val="20"/>
        <w:u w:val="single"/>
      </w:rPr>
      <w:t>Enron Power Marketing, Inc.’s First Request For Production</w:t>
    </w:r>
    <w:r>
      <w:rPr>
        <w:rFonts w:cs="Times New Roman Bold;Times New Roman" w:ascii="Times New Roman Bold;Times New Roman" w:hAnsi="Times New Roman Bold;Times New Roman"/>
        <w:smallCaps/>
        <w:sz w:val="20"/>
      </w:rPr>
      <w:t xml:space="preserve"> – Page </w:t>
    </w:r>
    <w:r>
      <w:rPr>
        <w:rStyle w:val="PageNumber"/>
        <w:b/>
        <w:sz w:val="20"/>
      </w:rPr>
      <w:fldChar w:fldCharType="begin"/>
    </w:r>
    <w:r>
      <w:rPr>
        <w:rStyle w:val="PageNumber"/>
        <w:sz w:val="20"/>
        <w:b/>
      </w:rPr>
      <w:instrText xml:space="preserve"> PAGE </w:instrText>
    </w:r>
    <w:r>
      <w:rPr>
        <w:rStyle w:val="PageNumber"/>
        <w:sz w:val="20"/>
        <w:b/>
      </w:rPr>
      <w:fldChar w:fldCharType="separate"/>
    </w:r>
    <w:r>
      <w:rPr>
        <w:rStyle w:val="PageNumber"/>
        <w:sz w:val="20"/>
        <w:b/>
      </w:rPr>
      <w:t>1</w:t>
    </w:r>
    <w:r>
      <w:rPr>
        <w:rStyle w:val="PageNumber"/>
        <w:sz w:val="20"/>
        <w:b/>
      </w:rPr>
      <w:fldChar w:fldCharType="end"/>
    </w:r>
  </w:p>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C:\MY DOCUMENTS\HO1-221463-EPMI's First Request for Production.DOC</w:t>
    </w:r>
    <w:r>
      <w:rPr>
        <w:rStyle w:val="TrailerWGM"/>
      </w:rPr>
      <w:fldChar w:fldCharType="end"/>
    </w:r>
    <w:r>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Letter"/>
      <w:lvlText w:val="%1."/>
      <w:lvlJc w:val="start"/>
      <w:pPr>
        <w:tabs>
          <w:tab w:val="num" w:pos="360"/>
        </w:tabs>
        <w:ind w:start="360" w:hanging="360"/>
      </w:pPr>
    </w:lvl>
  </w:abstractNum>
  <w:abstractNum w:abstractNumId="13">
    <w:lvl w:ilvl="0">
      <w:start w:val="1"/>
      <w:numFmt w:val="upperLetter"/>
      <w:lvlText w:val="%1."/>
      <w:lvlJc w:val="start"/>
      <w:pPr>
        <w:tabs>
          <w:tab w:val="num" w:pos="360"/>
        </w:tabs>
        <w:ind w:start="360" w:hanging="360"/>
      </w:pPr>
    </w:lvl>
  </w:abstractNum>
  <w:abstractNum w:abstractNumId="14">
    <w:lvl w:ilvl="0">
      <w:start w:val="1"/>
      <w:numFmt w:val="upperLetter"/>
      <w:lvlText w:val="%1."/>
      <w:lvlJc w:val="start"/>
      <w:pPr>
        <w:tabs>
          <w:tab w:val="num" w:pos="360"/>
        </w:tabs>
        <w:ind w:start="360" w:hanging="360"/>
      </w:pPr>
    </w:lvl>
  </w:abstractNum>
  <w:abstractNum w:abstractNumId="15">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decimal"/>
      <w:lvlText w:val="(%4)"/>
      <w:lvlJc w:val="start"/>
      <w:pPr>
        <w:tabs>
          <w:tab w:val="num" w:pos="252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Letter"/>
      <w:lvlText w:val="%5."/>
      <w:lvlJc w:val="start"/>
      <w:pPr>
        <w:tabs>
          <w:tab w:val="num" w:pos="324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468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540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6">
    <w:lvl w:ilvl="0">
      <w:start w:val="1"/>
      <w:numFmt w:val="upperLetter"/>
      <w:lvlText w:val="%1."/>
      <w:lvlJc w:val="start"/>
      <w:pPr>
        <w:tabs>
          <w:tab w:val="num" w:pos="360"/>
        </w:tabs>
        <w:ind w:start="360" w:hanging="360"/>
      </w:pPr>
    </w:lvl>
  </w:abstractNum>
  <w:abstractNum w:abstractNumId="17">
    <w:lvl w:ilvl="0">
      <w:start w:val="1"/>
      <w:numFmt w:val="upp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84"/>
  <w:defaultTabStop w:val="720"/>
  <w:autoHyphenation w:val="true"/>
  <w:hyphenationZone w:val="0"/>
  <w:compat>
    <w:doNotExpandShiftReturn/>
    <w:compatSetting w:name="compatibilityMode" w:uri="http://schemas.microsoft.com/office/word" w:val="11"/>
  </w:compat>
  <w:docVars>
    <w:docVar w:name="bResetResponseNumbering" w:val="True"/>
    <w:docVar w:name="bWasHeadingSet" w:val="False"/>
    <w:docVar w:name="chkAlternate" w:val="True"/>
    <w:docVar w:name="chkAutoNumRog" w:val="True"/>
    <w:docVar w:name="chkBSAllCaps" w:val="False"/>
    <w:docVar w:name="chkBSBold" w:val="True"/>
    <w:docVar w:name="chkBSSmallCaps" w:val="False"/>
    <w:docVar w:name="chkBSUnderlined" w:val="True"/>
    <w:docVar w:name="iRogReset" w:val="2"/>
    <w:docVar w:name="lstInterrogatories" w:val="Request No."/>
    <w:docVar w:name="obtnBSRunIn" w:val="False"/>
    <w:docVar w:name="obtnBSSep" w:val="True"/>
    <w:docVar w:name="obtnCustomRog" w:val="False"/>
    <w:docVar w:name="obtnCustomRogResponse" w:val="False"/>
    <w:docVar w:name="Restarted" w:val="True"/>
    <w:docVar w:name="txtBSHIndent" w:val="0.0"/>
    <w:docVar w:name="txtBSIndent" w:val="1.0"/>
    <w:docVar w:name="txtNumberRog" w:val="19"/>
    <w:docVar w:name="zzmpFixedCurrentTOCScheme" w:val="Standard"/>
    <w:docVar w:name="zzmpFixedCurScheme" w:val="Standard"/>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spacing w:before="240" w:after="60"/>
      <w:outlineLvl w:val="3"/>
    </w:pPr>
    <w:rPr>
      <w:b/>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6z0">
    <w:name w:val="WW8Num16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TrailerWGM">
    <w:name w:val="Trailer WGM"/>
    <w:basedOn w:val="DefaultParagraphFont"/>
    <w:qFormat/>
    <w:rPr>
      <w:caps/>
      <w:sz w:val="16"/>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rFonts w:ascii="Times New Roman" w:hAnsi="Times New Roman" w:cs="Times New Roman"/>
      <w:color w:val="0000FF"/>
      <w:sz w:val="24"/>
      <w:u w:val="single"/>
    </w:rPr>
  </w:style>
  <w:style w:type="character" w:styleId="PageNumber">
    <w:name w:val="page number"/>
    <w:basedOn w:val="DefaultParagraphFont"/>
    <w:rPr/>
  </w:style>
  <w:style w:type="character" w:styleId="zzmpTCEntryL1">
    <w:name w:val="zzmpTCEntryL1"/>
    <w:basedOn w:val="DefaultParagraphFont"/>
    <w:qFormat/>
    <w:rPr>
      <w:b/>
      <w:caps/>
      <w:color w:val="0000FF"/>
    </w:rPr>
  </w:style>
  <w:style w:type="character" w:styleId="zzmpTCEntryL2">
    <w:name w:val="zzmpTCEntryL2"/>
    <w:basedOn w:val="DefaultParagraphFont"/>
    <w:qFormat/>
    <w:rPr>
      <w:b/>
      <w:color w:val="0000FF"/>
    </w:rPr>
  </w:style>
  <w:style w:type="character" w:styleId="zzmpTCEntryL3">
    <w:name w:val="zzmpTCEntryL3"/>
    <w:basedOn w:val="DefaultParagraphFont"/>
    <w:qFormat/>
    <w:rPr>
      <w:b/>
      <w:color w:val="0000FF"/>
    </w:rPr>
  </w:style>
  <w:style w:type="character" w:styleId="zzmpTCEntryL4">
    <w:name w:val="zzmpTCEntryL4"/>
    <w:basedOn w:val="DefaultParagraphFont"/>
    <w:qFormat/>
    <w:rPr>
      <w:b/>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character" w:styleId="ParaNum">
    <w:name w:val="ParaNum"/>
    <w:basedOn w:val="DefaultParagraphFont"/>
    <w:qFormat/>
    <w:rPr/>
  </w:style>
  <w:style w:type="paragraph" w:styleId="Heading">
    <w:name w:val="Heading"/>
    <w:basedOn w:val="Normal"/>
    <w:next w:val="BodyText"/>
    <w:qFormat/>
    <w:pPr>
      <w:keepNext w:val="true"/>
      <w:spacing w:before="0" w:after="240"/>
      <w:jc w:val="center"/>
      <w:outlineLvl w:val="0"/>
    </w:pPr>
    <w:rPr>
      <w:b/>
    </w:rPr>
  </w:style>
  <w:style w:type="paragraph" w:styleId="BodyText">
    <w:name w:val="Body Text"/>
    <w:basedOn w:val="Normal"/>
    <w:pPr>
      <w:spacing w:before="0" w:after="240"/>
      <w:ind w:firstLine="720" w:start="0" w:end="0"/>
      <w:jc w:val="both"/>
    </w:pPr>
    <w:rPr/>
  </w:style>
  <w:style w:type="paragraph" w:styleId="List">
    <w:name w:val="List"/>
    <w:basedOn w:val="Normal"/>
    <w:pPr>
      <w:numPr>
        <w:ilvl w:val="0"/>
        <w:numId w:val="12"/>
      </w:numPr>
      <w:tabs>
        <w:tab w:val="clear" w:pos="720"/>
      </w:tabs>
      <w:spacing w:before="0" w:after="240"/>
      <w:ind w:hanging="720" w:start="72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lockTextTab">
    <w:name w:val="Block Text Tab"/>
    <w:basedOn w:val="Normal"/>
    <w:qFormat/>
    <w:pPr>
      <w:spacing w:before="0" w:after="240"/>
      <w:ind w:firstLine="720" w:start="1440" w:end="1440"/>
    </w:pPr>
    <w:rPr/>
  </w:style>
  <w:style w:type="paragraph" w:styleId="BlockText">
    <w:name w:val="Block Text"/>
    <w:basedOn w:val="Normal"/>
    <w:qFormat/>
    <w:pPr>
      <w:spacing w:before="0" w:after="240"/>
      <w:ind w:hanging="0" w:start="1440" w:end="1440"/>
    </w:pPr>
    <w:rPr/>
  </w:style>
  <w:style w:type="paragraph" w:styleId="BodyText2">
    <w:name w:val="Body Text 2"/>
    <w:basedOn w:val="Normal"/>
    <w:qFormat/>
    <w:pPr>
      <w:spacing w:lineRule="auto" w:line="480"/>
      <w:ind w:firstLine="1440" w:start="0" w:end="0"/>
      <w:jc w:val="both"/>
    </w:pPr>
    <w:rPr/>
  </w:style>
  <w:style w:type="paragraph" w:styleId="BodyText3">
    <w:name w:val="Body Text 3"/>
    <w:basedOn w:val="Normal"/>
    <w:qFormat/>
    <w:pPr>
      <w:spacing w:before="0" w:after="240"/>
    </w:pPr>
    <w:rPr/>
  </w:style>
  <w:style w:type="paragraph" w:styleId="BodyTextIndent">
    <w:name w:val="Body Text Indent"/>
    <w:basedOn w:val="Normal"/>
    <w:pPr>
      <w:spacing w:before="0" w:after="240"/>
      <w:ind w:hanging="0" w:start="1440" w:end="0"/>
    </w:pPr>
    <w:rPr/>
  </w:style>
  <w:style w:type="paragraph" w:styleId="BodyTextFirstIndent2">
    <w:name w:val="Body Text First Indent 2"/>
    <w:basedOn w:val="Normal"/>
    <w:qFormat/>
    <w:pPr>
      <w:spacing w:lineRule="auto" w:line="480"/>
      <w:ind w:firstLine="720" w:start="1440" w:end="0"/>
    </w:pPr>
    <w:rPr/>
  </w:style>
  <w:style w:type="paragraph" w:styleId="BodyTextFirstIndent">
    <w:name w:val="Body Text First Indent"/>
    <w:basedOn w:val="Normal"/>
    <w:qFormat/>
    <w:pPr>
      <w:spacing w:before="0" w:after="240"/>
      <w:ind w:firstLine="720" w:start="1440" w:end="0"/>
    </w:pPr>
    <w:rPr/>
  </w:style>
  <w:style w:type="paragraph" w:styleId="BodyTextIndent2">
    <w:name w:val="Body Text Indent 2"/>
    <w:basedOn w:val="Normal"/>
    <w:qFormat/>
    <w:pPr>
      <w:spacing w:lineRule="auto" w:line="480"/>
      <w:ind w:hanging="0" w:start="1440" w:end="0"/>
    </w:pPr>
    <w:rPr/>
  </w:style>
  <w:style w:type="paragraph" w:styleId="BodyTextIndent3">
    <w:name w:val="Body Text Indent 3"/>
    <w:basedOn w:val="Normal"/>
    <w:qFormat/>
    <w:pPr>
      <w:tabs>
        <w:tab w:val="clear" w:pos="720"/>
        <w:tab w:val="left" w:pos="4320" w:leader="none"/>
      </w:tabs>
      <w:spacing w:before="0" w:after="240"/>
      <w:ind w:hanging="4320" w:start="4320" w:end="0"/>
    </w:pPr>
    <w:rPr/>
  </w:style>
  <w:style w:type="paragraph" w:styleId="EndnoteText">
    <w:name w:val="endnote text"/>
    <w:basedOn w:val="Normal"/>
    <w:pPr>
      <w:spacing w:before="0" w:after="240"/>
    </w:pPr>
    <w:rPr>
      <w:sz w:val="24"/>
    </w:rPr>
  </w:style>
  <w:style w:type="paragraph" w:styleId="FootnoteText">
    <w:name w:val="footnote text"/>
    <w:basedOn w:val="Normal"/>
    <w:pPr>
      <w:spacing w:before="0" w:after="240"/>
    </w:pPr>
    <w:rPr>
      <w:sz w:val="24"/>
    </w:rPr>
  </w:style>
  <w:style w:type="paragraph" w:styleId="ListBullet2">
    <w:name w:val="List Bullet 2"/>
    <w:basedOn w:val="List"/>
    <w:pPr>
      <w:spacing w:before="0" w:after="120"/>
      <w:ind w:hanging="360" w:start="720"/>
    </w:pPr>
    <w:rPr/>
  </w:style>
  <w:style w:type="paragraph" w:styleId="WW-List2">
    <w:name w:val="WW-List 2"/>
    <w:basedOn w:val="Normal"/>
    <w:qFormat/>
    <w:pPr>
      <w:numPr>
        <w:ilvl w:val="0"/>
        <w:numId w:val="17"/>
      </w:numPr>
      <w:tabs>
        <w:tab w:val="clear" w:pos="720"/>
      </w:tabs>
      <w:spacing w:before="0" w:after="240"/>
      <w:ind w:hanging="720" w:start="1440" w:end="0"/>
    </w:pPr>
    <w:rPr/>
  </w:style>
  <w:style w:type="paragraph" w:styleId="ListBullet3">
    <w:name w:val="List Bullet 3"/>
    <w:basedOn w:val="List"/>
    <w:pPr>
      <w:spacing w:before="0" w:after="120"/>
      <w:ind w:hanging="360" w:start="1080"/>
    </w:pPr>
    <w:rPr/>
  </w:style>
  <w:style w:type="paragraph" w:styleId="WW-List3">
    <w:name w:val="WW-List 3"/>
    <w:basedOn w:val="Normal"/>
    <w:qFormat/>
    <w:pPr>
      <w:numPr>
        <w:ilvl w:val="0"/>
        <w:numId w:val="14"/>
      </w:numPr>
      <w:tabs>
        <w:tab w:val="clear" w:pos="720"/>
      </w:tabs>
      <w:spacing w:before="0" w:after="240"/>
      <w:ind w:hanging="720" w:start="2160" w:end="0"/>
    </w:pPr>
    <w:rPr/>
  </w:style>
  <w:style w:type="paragraph" w:styleId="ListBullet4">
    <w:name w:val="List Bullet 4"/>
    <w:basedOn w:val="List"/>
    <w:pPr>
      <w:spacing w:before="0" w:after="120"/>
      <w:ind w:hanging="360" w:start="1440"/>
    </w:pPr>
    <w:rPr/>
  </w:style>
  <w:style w:type="paragraph" w:styleId="WW-List4">
    <w:name w:val="WW-List 4"/>
    <w:basedOn w:val="Normal"/>
    <w:qFormat/>
    <w:pPr>
      <w:numPr>
        <w:ilvl w:val="0"/>
        <w:numId w:val="16"/>
      </w:numPr>
      <w:tabs>
        <w:tab w:val="clear" w:pos="720"/>
      </w:tabs>
      <w:spacing w:before="0" w:after="240"/>
      <w:ind w:hanging="720" w:start="2880" w:end="0"/>
    </w:pPr>
    <w:rPr/>
  </w:style>
  <w:style w:type="paragraph" w:styleId="ListBullet5">
    <w:name w:val="List Bullet 5"/>
    <w:basedOn w:val="List"/>
    <w:pPr>
      <w:spacing w:before="0" w:after="120"/>
      <w:ind w:hanging="360" w:start="1800"/>
    </w:pPr>
    <w:rPr/>
  </w:style>
  <w:style w:type="paragraph" w:styleId="WW-List5">
    <w:name w:val="WW-List 5"/>
    <w:basedOn w:val="Normal"/>
    <w:qFormat/>
    <w:pPr>
      <w:numPr>
        <w:ilvl w:val="0"/>
        <w:numId w:val="13"/>
      </w:numPr>
      <w:tabs>
        <w:tab w:val="clear" w:pos="720"/>
      </w:tabs>
      <w:spacing w:before="0" w:after="240"/>
      <w:ind w:hanging="720" w:start="3600" w:end="0"/>
    </w:pPr>
    <w:rPr/>
  </w:style>
  <w:style w:type="paragraph" w:styleId="ListBullet31">
    <w:name w:val="List Bullet 31"/>
    <w:basedOn w:val="Normal"/>
    <w:qFormat/>
    <w:pPr>
      <w:numPr>
        <w:ilvl w:val="0"/>
        <w:numId w:val="8"/>
      </w:numPr>
      <w:tabs>
        <w:tab w:val="clear" w:pos="720"/>
      </w:tabs>
      <w:spacing w:before="0" w:after="240"/>
      <w:ind w:hanging="720" w:start="2160" w:end="0"/>
    </w:pPr>
    <w:rPr/>
  </w:style>
  <w:style w:type="paragraph" w:styleId="ListBullet41">
    <w:name w:val="List Bullet 41"/>
    <w:basedOn w:val="Normal"/>
    <w:qFormat/>
    <w:pPr>
      <w:numPr>
        <w:ilvl w:val="0"/>
        <w:numId w:val="7"/>
      </w:numPr>
      <w:tabs>
        <w:tab w:val="clear" w:pos="720"/>
      </w:tabs>
      <w:spacing w:before="0" w:after="240"/>
      <w:ind w:hanging="720" w:start="2880" w:end="0"/>
    </w:pPr>
    <w:rPr/>
  </w:style>
  <w:style w:type="paragraph" w:styleId="ListBullet51">
    <w:name w:val="List Bullet 51"/>
    <w:basedOn w:val="Normal"/>
    <w:qFormat/>
    <w:pPr>
      <w:numPr>
        <w:ilvl w:val="0"/>
        <w:numId w:val="6"/>
      </w:numPr>
      <w:tabs>
        <w:tab w:val="clear" w:pos="720"/>
      </w:tabs>
      <w:spacing w:before="0" w:after="240"/>
      <w:ind w:hanging="720" w:start="3600" w:end="0"/>
    </w:pPr>
    <w:rPr/>
  </w:style>
  <w:style w:type="paragraph" w:styleId="ListBullet">
    <w:name w:val="List Bullet"/>
    <w:basedOn w:val="Normal"/>
    <w:qFormat/>
    <w:pPr>
      <w:numPr>
        <w:ilvl w:val="0"/>
        <w:numId w:val="11"/>
      </w:numPr>
      <w:tabs>
        <w:tab w:val="clear" w:pos="720"/>
      </w:tabs>
      <w:spacing w:before="0" w:after="240"/>
      <w:ind w:hanging="720" w:start="720" w:end="0"/>
    </w:pPr>
    <w:rPr/>
  </w:style>
  <w:style w:type="paragraph" w:styleId="ListContinue2">
    <w:name w:val="List Continue 2"/>
    <w:basedOn w:val="Normal"/>
    <w:qFormat/>
    <w:pPr>
      <w:spacing w:before="0" w:after="240"/>
      <w:ind w:hanging="0" w:start="1440" w:end="0"/>
    </w:pPr>
    <w:rPr/>
  </w:style>
  <w:style w:type="paragraph" w:styleId="ListContinue3">
    <w:name w:val="List Continue 3"/>
    <w:basedOn w:val="Normal"/>
    <w:qFormat/>
    <w:pPr>
      <w:spacing w:before="0" w:after="240"/>
      <w:ind w:hanging="0" w:start="2160" w:end="0"/>
    </w:pPr>
    <w:rPr/>
  </w:style>
  <w:style w:type="paragraph" w:styleId="ListContinue4">
    <w:name w:val="List Continue 4"/>
    <w:basedOn w:val="Normal"/>
    <w:qFormat/>
    <w:pPr>
      <w:spacing w:before="0" w:after="240"/>
      <w:ind w:hanging="0" w:start="2880" w:end="0"/>
    </w:pPr>
    <w:rPr/>
  </w:style>
  <w:style w:type="paragraph" w:styleId="ListContinue5">
    <w:name w:val="List Continue 5"/>
    <w:basedOn w:val="Normal"/>
    <w:qFormat/>
    <w:pPr>
      <w:spacing w:before="0" w:after="240"/>
      <w:ind w:hanging="0" w:start="3600" w:end="0"/>
    </w:pPr>
    <w:rPr/>
  </w:style>
  <w:style w:type="paragraph" w:styleId="ListContinue">
    <w:name w:val="List Continue"/>
    <w:basedOn w:val="Normal"/>
    <w:qFormat/>
    <w:pPr>
      <w:spacing w:before="0" w:after="240"/>
      <w:ind w:hanging="0" w:start="720" w:end="0"/>
    </w:pPr>
    <w:rPr/>
  </w:style>
  <w:style w:type="paragraph" w:styleId="ListNumber2">
    <w:name w:val="List Number 2"/>
    <w:basedOn w:val="Normal"/>
    <w:qFormat/>
    <w:pPr>
      <w:numPr>
        <w:ilvl w:val="0"/>
        <w:numId w:val="5"/>
      </w:numPr>
      <w:tabs>
        <w:tab w:val="clear" w:pos="720"/>
      </w:tabs>
      <w:spacing w:before="0" w:after="240"/>
      <w:ind w:hanging="720" w:start="1440" w:end="0"/>
    </w:pPr>
    <w:rPr/>
  </w:style>
  <w:style w:type="paragraph" w:styleId="ListNumber3">
    <w:name w:val="List Number 3"/>
    <w:basedOn w:val="Normal"/>
    <w:qFormat/>
    <w:pPr>
      <w:numPr>
        <w:ilvl w:val="0"/>
        <w:numId w:val="4"/>
      </w:numPr>
      <w:tabs>
        <w:tab w:val="clear" w:pos="720"/>
      </w:tabs>
      <w:spacing w:before="0" w:after="240"/>
      <w:ind w:hanging="720" w:start="2160" w:end="0"/>
    </w:pPr>
    <w:rPr/>
  </w:style>
  <w:style w:type="paragraph" w:styleId="ListNumber4">
    <w:name w:val="List Number 4"/>
    <w:basedOn w:val="Normal"/>
    <w:qFormat/>
    <w:pPr>
      <w:numPr>
        <w:ilvl w:val="0"/>
        <w:numId w:val="3"/>
      </w:numPr>
      <w:tabs>
        <w:tab w:val="clear" w:pos="720"/>
      </w:tabs>
      <w:spacing w:before="0" w:after="240"/>
      <w:ind w:hanging="720" w:start="2880" w:end="0"/>
    </w:pPr>
    <w:rPr/>
  </w:style>
  <w:style w:type="paragraph" w:styleId="ListNumber5">
    <w:name w:val="List Number 5"/>
    <w:basedOn w:val="Normal"/>
    <w:qFormat/>
    <w:pPr>
      <w:numPr>
        <w:ilvl w:val="0"/>
        <w:numId w:val="2"/>
      </w:numPr>
      <w:tabs>
        <w:tab w:val="clear" w:pos="720"/>
      </w:tabs>
      <w:spacing w:before="0" w:after="240"/>
      <w:ind w:hanging="720" w:start="3600" w:end="0"/>
    </w:pPr>
    <w:rPr/>
  </w:style>
  <w:style w:type="paragraph" w:styleId="ListNumber">
    <w:name w:val="List Number"/>
    <w:basedOn w:val="Normal"/>
    <w:qFormat/>
    <w:pPr>
      <w:numPr>
        <w:ilvl w:val="0"/>
        <w:numId w:val="10"/>
      </w:numPr>
      <w:tabs>
        <w:tab w:val="clear" w:pos="720"/>
      </w:tabs>
      <w:spacing w:before="0" w:after="240"/>
      <w:ind w:hanging="720" w:start="720" w:end="0"/>
    </w:pPr>
    <w:rPr/>
  </w:style>
  <w:style w:type="paragraph" w:styleId="EnvelopeAddress">
    <w:name w:val="envelope address"/>
    <w:basedOn w:val="Normal"/>
    <w:pPr>
      <w:ind w:hanging="0" w:start="2880" w:end="0"/>
    </w:pPr>
    <w:rPr/>
  </w:style>
  <w:style w:type="paragraph" w:styleId="PlainText">
    <w:name w:val="Plain Text"/>
    <w:basedOn w:val="Normal"/>
    <w:qFormat/>
    <w:pPr>
      <w:spacing w:before="0" w:after="240"/>
    </w:pPr>
    <w:rPr>
      <w:sz w:val="24"/>
    </w:rPr>
  </w:style>
  <w:style w:type="paragraph" w:styleId="Signature">
    <w:name w:val="Signature"/>
    <w:basedOn w:val="Normal"/>
    <w:pPr>
      <w:spacing w:before="0" w:after="240"/>
      <w:ind w:hanging="0" w:start="4320" w:end="0"/>
    </w:pPr>
    <w:rPr>
      <w:sz w:val="24"/>
    </w:rPr>
  </w:style>
  <w:style w:type="paragraph" w:styleId="Subtitle">
    <w:name w:val="Subtitle"/>
    <w:basedOn w:val="Normal"/>
    <w:next w:val="BodyText"/>
    <w:qFormat/>
    <w:pPr>
      <w:keepNext w:val="true"/>
      <w:spacing w:before="240" w:after="240"/>
      <w:jc w:val="center"/>
      <w:outlineLvl w:val="1"/>
    </w:pPr>
    <w:rPr>
      <w:rFonts w:ascii="Times New Roman Bold;Times New Roman" w:hAnsi="Times New Roman Bold;Times New Roman" w:cs="Times New Roman Bold;Times New Roman"/>
      <w:b/>
      <w:caps/>
      <w:u w:val="single"/>
    </w:rPr>
  </w:style>
  <w:style w:type="paragraph" w:styleId="TableofAuthorities">
    <w:name w:val="Table of Authorities"/>
    <w:basedOn w:val="Normal"/>
    <w:next w:val="Normal"/>
    <w:qFormat/>
    <w:pPr>
      <w:spacing w:before="0" w:after="240"/>
      <w:ind w:hanging="245" w:start="245" w:end="0"/>
    </w:pPr>
    <w:rPr/>
  </w:style>
  <w:style w:type="paragraph" w:styleId="TOAHeading">
    <w:name w:val="TOA Heading"/>
    <w:basedOn w:val="Normal"/>
    <w:next w:val="Normal"/>
    <w:qFormat/>
    <w:pPr>
      <w:spacing w:before="240" w:after="240"/>
    </w:pPr>
    <w:rPr>
      <w:b/>
    </w:rPr>
  </w:style>
  <w:style w:type="paragraph" w:styleId="EnvelopeWGMReturn">
    <w:name w:val="Envelope WGM Return"/>
    <w:basedOn w:val="Normal"/>
    <w:qFormat/>
    <w:pPr/>
    <w:rPr/>
  </w:style>
  <w:style w:type="paragraph" w:styleId="Memohead">
    <w:name w:val="Memohead"/>
    <w:qFormat/>
    <w:pPr>
      <w:widowControl/>
      <w:bidi w:val="0"/>
      <w:spacing w:before="0" w:after="240"/>
    </w:pPr>
    <w:rPr>
      <w:rFonts w:ascii="Times New Roman" w:hAnsi="Times New Roman" w:eastAsia="Times New Roman" w:cs="Times New Roman"/>
      <w:b/>
      <w:color w:val="auto"/>
      <w:sz w:val="20"/>
      <w:szCs w:val="20"/>
      <w:lang w:val="en-CA" w:eastAsia="zh-CN" w:bidi="hi-IN"/>
    </w:rPr>
  </w:style>
  <w:style w:type="paragraph" w:styleId="Memorandum">
    <w:name w:val="Memorandum"/>
    <w:basedOn w:val="Normal"/>
    <w:qFormat/>
    <w:pPr>
      <w:spacing w:before="0" w:after="720"/>
      <w:jc w:val="center"/>
    </w:pPr>
    <w:rPr>
      <w:rFonts w:ascii="EngraversGothic BT" w:hAnsi="EngraversGothic BT" w:cs="EngraversGothic BT"/>
      <w:b/>
      <w:spacing w:val="100"/>
      <w:sz w:val="28"/>
    </w:rPr>
  </w:style>
  <w:style w:type="paragraph" w:styleId="BlockText2">
    <w:name w:val="Block Text 2"/>
    <w:basedOn w:val="Normal"/>
    <w:qFormat/>
    <w:pPr>
      <w:spacing w:lineRule="auto" w:line="480"/>
      <w:ind w:hanging="0" w:start="1440" w:end="1440"/>
    </w:pPr>
    <w:rPr/>
  </w:style>
  <w:style w:type="paragraph" w:styleId="BodyText4">
    <w:name w:val="Body Text 4"/>
    <w:basedOn w:val="Normal"/>
    <w:qFormat/>
    <w:pPr>
      <w:spacing w:lineRule="auto" w:line="480"/>
    </w:pPr>
    <w:rPr/>
  </w:style>
  <w:style w:type="paragraph" w:styleId="EnvelopeReturn">
    <w:name w:val="envelope return"/>
    <w:basedOn w:val="Normal"/>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0"/>
      <w:szCs w:val="20"/>
      <w:lang w:val="en-US" w:eastAsia="zh-CN" w:bidi="hi-IN"/>
    </w:rPr>
  </w:style>
  <w:style w:type="paragraph" w:styleId="ListBullet21">
    <w:name w:val="List Bullet 21"/>
    <w:basedOn w:val="Normal"/>
    <w:qFormat/>
    <w:pPr>
      <w:numPr>
        <w:ilvl w:val="0"/>
        <w:numId w:val="9"/>
      </w:numPr>
      <w:spacing w:before="0" w:after="240"/>
      <w:ind w:hanging="720" w:start="1440" w:end="0"/>
    </w:pPr>
    <w:rPr/>
  </w:style>
  <w:style w:type="paragraph" w:styleId="DocumentMap">
    <w:name w:val="Document Map"/>
    <w:basedOn w:val="Normal"/>
    <w:qFormat/>
    <w:pPr>
      <w:shd w:fill="000080" w:val="clear"/>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DeliveryMethod">
    <w:name w:val="Delivery Method"/>
    <w:basedOn w:val="Normal"/>
    <w:next w:val="Normal"/>
    <w:qFormat/>
    <w:pPr>
      <w:spacing w:before="0" w:after="240"/>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umContinue">
    <w:name w:val="Num Continue"/>
    <w:basedOn w:val="BodyText"/>
    <w:qFormat/>
    <w:pPr/>
    <w:rPr/>
  </w:style>
  <w:style w:type="paragraph" w:styleId="StandardL1">
    <w:name w:val="Standard_L1"/>
    <w:basedOn w:val="Normal"/>
    <w:next w:val="NumContinue"/>
    <w:qFormat/>
    <w:pPr>
      <w:numPr>
        <w:ilvl w:val="0"/>
        <w:numId w:val="15"/>
      </w:numPr>
      <w:tabs>
        <w:tab w:val="clear" w:pos="720"/>
        <w:tab w:val="left" w:pos="2160" w:leader="none"/>
      </w:tabs>
      <w:spacing w:before="0" w:after="240"/>
      <w:ind w:firstLine="1440" w:start="0" w:end="0"/>
      <w:jc w:val="both"/>
      <w:outlineLvl w:val="0"/>
    </w:pPr>
    <w:rPr/>
  </w:style>
  <w:style w:type="paragraph" w:styleId="StandardL2">
    <w:name w:val="Standard_L2"/>
    <w:basedOn w:val="StandardL1"/>
    <w:next w:val="NumContinue"/>
    <w:qFormat/>
    <w:pPr>
      <w:numPr>
        <w:ilvl w:val="0"/>
        <w:numId w:val="15"/>
      </w:numPr>
      <w:tabs>
        <w:tab w:val="left" w:pos="1440" w:leader="none"/>
        <w:tab w:val="left" w:pos="2160" w:leader="none"/>
      </w:tabs>
      <w:outlineLvl w:val="1"/>
    </w:pPr>
    <w:rPr/>
  </w:style>
  <w:style w:type="paragraph" w:styleId="StandardL3">
    <w:name w:val="Standard_L3"/>
    <w:basedOn w:val="StandardL2"/>
    <w:next w:val="NumContinue"/>
    <w:qFormat/>
    <w:pPr>
      <w:numPr>
        <w:ilvl w:val="0"/>
        <w:numId w:val="15"/>
      </w:numPr>
      <w:tabs>
        <w:tab w:val="clear" w:pos="1440"/>
        <w:tab w:val="left" w:pos="2160" w:leader="none"/>
      </w:tabs>
      <w:outlineLvl w:val="2"/>
    </w:pPr>
    <w:rPr/>
  </w:style>
  <w:style w:type="paragraph" w:styleId="StandardL4">
    <w:name w:val="Standard_L4"/>
    <w:basedOn w:val="StandardL3"/>
    <w:next w:val="NumContinue"/>
    <w:qFormat/>
    <w:pPr>
      <w:numPr>
        <w:ilvl w:val="0"/>
        <w:numId w:val="15"/>
      </w:numPr>
      <w:tabs>
        <w:tab w:val="left" w:pos="2160" w:leader="none"/>
        <w:tab w:val="left" w:pos="2880" w:leader="none"/>
      </w:tabs>
      <w:outlineLvl w:val="3"/>
    </w:pPr>
    <w:rPr/>
  </w:style>
  <w:style w:type="paragraph" w:styleId="StandardL5">
    <w:name w:val="Standard_L5"/>
    <w:basedOn w:val="StandardL4"/>
    <w:next w:val="NumContinue"/>
    <w:qFormat/>
    <w:pPr>
      <w:numPr>
        <w:ilvl w:val="0"/>
        <w:numId w:val="15"/>
      </w:numPr>
      <w:tabs>
        <w:tab w:val="clear" w:pos="2880"/>
        <w:tab w:val="left" w:pos="2160" w:leader="none"/>
        <w:tab w:val="left" w:pos="3600" w:leader="none"/>
      </w:tabs>
      <w:outlineLvl w:val="4"/>
    </w:pPr>
    <w:rPr/>
  </w:style>
  <w:style w:type="paragraph" w:styleId="StandardL6">
    <w:name w:val="Standard_L6"/>
    <w:basedOn w:val="StandardL5"/>
    <w:next w:val="NumContinue"/>
    <w:qFormat/>
    <w:pPr>
      <w:numPr>
        <w:ilvl w:val="0"/>
        <w:numId w:val="15"/>
      </w:numPr>
      <w:tabs>
        <w:tab w:val="clear" w:pos="3600"/>
        <w:tab w:val="left" w:pos="2160" w:leader="none"/>
      </w:tabs>
      <w:outlineLvl w:val="5"/>
    </w:pPr>
    <w:rPr/>
  </w:style>
  <w:style w:type="paragraph" w:styleId="StandardL7">
    <w:name w:val="Standard_L7"/>
    <w:basedOn w:val="StandardL6"/>
    <w:next w:val="NumContinue"/>
    <w:qFormat/>
    <w:pPr>
      <w:numPr>
        <w:ilvl w:val="0"/>
        <w:numId w:val="15"/>
      </w:numPr>
      <w:tabs>
        <w:tab w:val="left" w:pos="2160" w:leader="none"/>
        <w:tab w:val="left" w:pos="5040" w:leader="none"/>
      </w:tabs>
      <w:outlineLvl w:val="6"/>
    </w:pPr>
    <w:rPr/>
  </w:style>
  <w:style w:type="paragraph" w:styleId="StandardL8">
    <w:name w:val="Standard_L8"/>
    <w:basedOn w:val="StandardL7"/>
    <w:next w:val="NumContinue"/>
    <w:qFormat/>
    <w:pPr>
      <w:numPr>
        <w:ilvl w:val="0"/>
        <w:numId w:val="15"/>
      </w:numPr>
      <w:tabs>
        <w:tab w:val="clear" w:pos="5040"/>
        <w:tab w:val="left" w:pos="2160" w:leader="none"/>
        <w:tab w:val="left" w:pos="5760" w:leader="none"/>
      </w:tabs>
      <w:outlineLvl w:val="7"/>
    </w:pPr>
    <w:rPr/>
  </w:style>
  <w:style w:type="paragraph" w:styleId="StandardL9">
    <w:name w:val="Standard_L9"/>
    <w:basedOn w:val="StandardL8"/>
    <w:next w:val="NumContinue"/>
    <w:qFormat/>
    <w:pPr>
      <w:numPr>
        <w:ilvl w:val="0"/>
        <w:numId w:val="15"/>
      </w:numPr>
      <w:tabs>
        <w:tab w:val="clear" w:pos="5760"/>
        <w:tab w:val="left" w:pos="2160" w:leader="none"/>
      </w:tabs>
      <w:outlineLvl w:val="8"/>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2001-01-16T15:41:00Z</dcterms:created>
  <dc:creator>MIS</dc:creator>
  <dc:description/>
  <cp:keywords>DocsOpen Name: #221463 v2 - EPMI's First Request for Production</cp:keywords>
  <dc:language>en-CA</dc:language>
  <cp:lastModifiedBy>MIS</cp:lastModifiedBy>
  <cp:lastPrinted>2001-01-16T11:08:00Z</cp:lastPrinted>
  <dcterms:modified xsi:type="dcterms:W3CDTF">2001-01-22T23:59:00Z</dcterms:modified>
  <cp:revision>5</cp:revision>
  <dc:subject>DocsOpen Loc:G:\DATA\HO1\GRAY\PLD\4qvr02!.DOC</dc:subject>
  <dc:title>Local: C:\MY DOCUMENTS\HO1-221463-EPMI's First Request for Production.DOC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C:\MY DOCUMENTS\HO1-221463-EPMI's First Request for Production.DOC</vt:lpwstr>
  </property>
</Properties>
</file>