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UNITED STATES BANKRUPTCY COURT</w:t>
      </w:r>
    </w:p>
    <w:p>
      <w:pPr>
        <w:pStyle w:val="Normal"/>
        <w:jc w:val="center"/>
        <w:rPr/>
      </w:pPr>
      <w:r>
        <w:rPr/>
        <w:t>DISTRICT OF CONNECTICUT</w:t>
      </w:r>
    </w:p>
    <w:p>
      <w:pPr>
        <w:pStyle w:val="Normal"/>
        <w:spacing w:before="0" w:after="240"/>
        <w:jc w:val="center"/>
        <w:rPr/>
      </w:pPr>
      <w:r>
        <w:rPr/>
        <w:t>BRIDGEPORT DIVISION</w:t>
      </w:r>
    </w:p>
    <w:p>
      <w:pPr>
        <w:pStyle w:val="Normal"/>
        <w:tabs>
          <w:tab w:val="clear" w:pos="720"/>
          <w:tab w:val="left" w:pos="4680" w:leader="none"/>
        </w:tabs>
        <w:spacing w:before="0" w:after="240"/>
        <w:rPr/>
      </w:pPr>
      <w:r>
        <w:rPr>
          <w:sz w:val="22"/>
          <w:u w:val="single"/>
        </w:rPr>
        <w:tab/>
      </w:r>
      <w:r>
        <w:rPr>
          <w:sz w:val="22"/>
        </w:rPr>
        <w:t>x</w:t>
      </w:r>
    </w:p>
    <w:p>
      <w:pPr>
        <w:pStyle w:val="Normal"/>
        <w:tabs>
          <w:tab w:val="clear" w:pos="720"/>
          <w:tab w:val="left" w:pos="4680" w:leader="none"/>
        </w:tabs>
        <w:rPr>
          <w:sz w:val="22"/>
        </w:rPr>
      </w:pPr>
      <w:r>
        <w:rPr>
          <w:sz w:val="22"/>
        </w:rPr>
        <w:t>In re:</w:t>
        <w:tab/>
        <w:t>:</w:t>
      </w:r>
    </w:p>
    <w:p>
      <w:pPr>
        <w:pStyle w:val="Normal"/>
        <w:tabs>
          <w:tab w:val="clear" w:pos="720"/>
          <w:tab w:val="left" w:pos="4680" w:leader="none"/>
        </w:tabs>
        <w:rPr>
          <w:sz w:val="22"/>
        </w:rPr>
      </w:pPr>
      <w:r>
        <w:rPr>
          <w:sz w:val="22"/>
        </w:rPr>
        <w:tab/>
        <w:tab/>
        <w:t>Chapter 11</w:t>
      </w:r>
    </w:p>
    <w:p>
      <w:pPr>
        <w:pStyle w:val="Normal"/>
        <w:tabs>
          <w:tab w:val="clear" w:pos="720"/>
          <w:tab w:val="left" w:pos="4680" w:leader="none"/>
        </w:tabs>
        <w:rPr>
          <w:sz w:val="22"/>
        </w:rPr>
      </w:pPr>
      <w:r>
        <w:rPr>
          <w:sz w:val="22"/>
        </w:rPr>
        <w:t>THE POWER COMPANY OF AMERICA, L.P.</w:t>
        <w:tab/>
        <w:t>:</w:t>
      </w:r>
    </w:p>
    <w:p>
      <w:pPr>
        <w:pStyle w:val="Normal"/>
        <w:tabs>
          <w:tab w:val="clear" w:pos="720"/>
          <w:tab w:val="left" w:pos="4680" w:leader="none"/>
        </w:tabs>
        <w:rPr>
          <w:sz w:val="22"/>
        </w:rPr>
      </w:pPr>
      <w:r>
        <w:rPr>
          <w:sz w:val="22"/>
        </w:rPr>
        <w:tab/>
        <w:tab/>
        <w:t>Case No. 98/51570 (AHWS)</w:t>
      </w:r>
    </w:p>
    <w:p>
      <w:pPr>
        <w:pStyle w:val="Normal"/>
        <w:tabs>
          <w:tab w:val="clear" w:pos="720"/>
          <w:tab w:val="left" w:pos="2160" w:leader="none"/>
          <w:tab w:val="left" w:pos="4680" w:leader="none"/>
        </w:tabs>
        <w:rPr>
          <w:sz w:val="22"/>
        </w:rPr>
      </w:pPr>
      <w:r>
        <w:rPr>
          <w:sz w:val="22"/>
        </w:rPr>
        <w:tab/>
        <w:t>Debtor.</w:t>
        <w:tab/>
        <w:t>:</w:t>
      </w:r>
    </w:p>
    <w:p>
      <w:pPr>
        <w:pStyle w:val="Normal"/>
        <w:tabs>
          <w:tab w:val="clear" w:pos="720"/>
          <w:tab w:val="left" w:pos="4680" w:leader="none"/>
        </w:tabs>
        <w:rPr/>
      </w:pPr>
      <w:r>
        <w:rPr>
          <w:sz w:val="22"/>
          <w:u w:val="single"/>
        </w:rPr>
        <w:tab/>
      </w:r>
      <w:r>
        <w:rPr>
          <w:sz w:val="22"/>
        </w:rPr>
        <w:t>x</w:t>
      </w:r>
    </w:p>
    <w:p>
      <w:pPr>
        <w:pStyle w:val="Normal"/>
        <w:tabs>
          <w:tab w:val="clear" w:pos="720"/>
          <w:tab w:val="left" w:pos="2160" w:leader="none"/>
          <w:tab w:val="left" w:pos="4680" w:leader="none"/>
        </w:tabs>
        <w:rPr>
          <w:sz w:val="22"/>
        </w:rPr>
      </w:pPr>
      <w:r>
        <w:rPr>
          <w:sz w:val="22"/>
        </w:rPr>
        <w:t>THE PCA LIQUIDATING TRUST,</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Plaintiff,</w:t>
        <w:tab/>
      </w:r>
    </w:p>
    <w:p>
      <w:pPr>
        <w:pStyle w:val="Normal"/>
        <w:tabs>
          <w:tab w:val="clear" w:pos="720"/>
          <w:tab w:val="left" w:pos="4680" w:leader="none"/>
        </w:tabs>
        <w:rPr>
          <w:sz w:val="22"/>
        </w:rPr>
      </w:pPr>
      <w:r>
        <w:rPr>
          <w:sz w:val="22"/>
        </w:rPr>
        <w:tab/>
        <w:t>:</w:t>
      </w:r>
    </w:p>
    <w:p>
      <w:pPr>
        <w:pStyle w:val="Normal"/>
        <w:tabs>
          <w:tab w:val="clear" w:pos="720"/>
          <w:tab w:val="left" w:pos="1440" w:leader="none"/>
          <w:tab w:val="left" w:pos="4680" w:leader="none"/>
          <w:tab w:val="left" w:pos="5040" w:leader="none"/>
          <w:tab w:val="left" w:pos="7200" w:leader="none"/>
        </w:tabs>
        <w:rPr>
          <w:sz w:val="22"/>
        </w:rPr>
      </w:pPr>
      <w:r>
        <w:rPr>
          <w:sz w:val="22"/>
        </w:rPr>
        <w:tab/>
        <w:t>-against-</w:t>
        <w:tab/>
        <w:tab/>
        <w:t>Adv. Proc. No. 00-05067 (AHWS)</w:t>
      </w:r>
    </w:p>
    <w:p>
      <w:pPr>
        <w:pStyle w:val="Normal"/>
        <w:tabs>
          <w:tab w:val="clear" w:pos="720"/>
          <w:tab w:val="left" w:pos="4680" w:leader="none"/>
        </w:tabs>
        <w:rPr>
          <w:sz w:val="22"/>
        </w:rPr>
      </w:pPr>
      <w:r>
        <w:rPr>
          <w:sz w:val="22"/>
        </w:rPr>
        <w:tab/>
        <w:t>:</w:t>
      </w:r>
    </w:p>
    <w:p>
      <w:pPr>
        <w:pStyle w:val="Normal"/>
        <w:tabs>
          <w:tab w:val="clear" w:pos="720"/>
          <w:tab w:val="left" w:pos="4680" w:leader="none"/>
        </w:tabs>
        <w:rPr>
          <w:sz w:val="22"/>
        </w:rPr>
      </w:pPr>
      <w:r>
        <w:rPr>
          <w:sz w:val="22"/>
        </w:rPr>
        <w:t>ENRON POWER MARKETING, INC.</w:t>
        <w:tab/>
      </w:r>
    </w:p>
    <w:p>
      <w:pPr>
        <w:pStyle w:val="Normal"/>
        <w:tabs>
          <w:tab w:val="clear" w:pos="720"/>
          <w:tab w:val="left" w:pos="4680" w:leader="none"/>
        </w:tabs>
        <w:rPr>
          <w:sz w:val="22"/>
        </w:rPr>
      </w:pPr>
      <w:r>
        <w:rPr>
          <w:sz w:val="22"/>
        </w:rPr>
        <w:tab/>
        <w:t>:</w:t>
      </w:r>
    </w:p>
    <w:p>
      <w:pPr>
        <w:pStyle w:val="Normal"/>
        <w:tabs>
          <w:tab w:val="clear" w:pos="720"/>
          <w:tab w:val="left" w:pos="2160" w:leader="none"/>
          <w:tab w:val="left" w:pos="4680" w:leader="none"/>
        </w:tabs>
        <w:rPr>
          <w:sz w:val="22"/>
        </w:rPr>
      </w:pPr>
      <w:r>
        <w:rPr>
          <w:sz w:val="22"/>
        </w:rPr>
        <w:tab/>
        <w:t>Defendant.</w:t>
        <w:tab/>
      </w:r>
    </w:p>
    <w:p>
      <w:pPr>
        <w:pStyle w:val="Normal"/>
        <w:tabs>
          <w:tab w:val="clear" w:pos="720"/>
          <w:tab w:val="left" w:pos="4680" w:leader="none"/>
        </w:tabs>
        <w:rPr>
          <w:sz w:val="22"/>
        </w:rPr>
      </w:pPr>
      <w:r>
        <w:rPr>
          <w:sz w:val="22"/>
        </w:rPr>
        <w:tab/>
        <w:t>:</w:t>
      </w:r>
    </w:p>
    <w:p>
      <w:pPr>
        <w:pStyle w:val="Normal"/>
        <w:tabs>
          <w:tab w:val="clear" w:pos="720"/>
          <w:tab w:val="left" w:pos="4680" w:leader="none"/>
        </w:tabs>
        <w:spacing w:before="0" w:after="360"/>
        <w:rPr/>
      </w:pPr>
      <w:r>
        <w:rPr>
          <w:sz w:val="22"/>
          <w:u w:val="single"/>
        </w:rPr>
        <w:tab/>
      </w:r>
      <w:r>
        <w:rPr>
          <w:sz w:val="22"/>
        </w:rPr>
        <w:t>x</w:t>
      </w:r>
    </w:p>
    <w:p>
      <w:pPr>
        <w:pStyle w:val="Heading"/>
        <w:rPr/>
      </w:pPr>
      <w:r>
        <w:rPr/>
        <w:t>ENRON POWER MARKETING INC.’S</w:t>
      </w:r>
      <w:r>
        <w:rPr>
          <w:u w:val="single"/>
        </w:rPr>
        <w:br/>
        <w:t>FIRST SET OF REQUESTS FOR ADMISSIONS</w:t>
      </w:r>
    </w:p>
    <w:p>
      <w:pPr>
        <w:pStyle w:val="Normal"/>
        <w:spacing w:before="0" w:after="360"/>
        <w:ind w:hanging="720" w:start="720" w:end="0"/>
        <w:jc w:val="both"/>
        <w:rPr/>
      </w:pPr>
      <w:r>
        <w:rPr/>
        <w:t>To:</w:t>
        <w:tab/>
        <w:t xml:space="preserve">Plaintiff, PCA Liquidating Trust, by and through its counsel of record, Herb S. Edelman and Jane W. Parver, </w:t>
      </w:r>
      <w:r>
        <w:rPr>
          <w:smallCaps/>
        </w:rPr>
        <w:t>Kaye, Scholer, Fierman, Hays &amp; Handler, L.L.P.</w:t>
      </w:r>
      <w:r>
        <w:rPr/>
        <w:t>, 425 Park Avenue, New York, New York 10022.</w:t>
      </w:r>
    </w:p>
    <w:p>
      <w:pPr>
        <w:pStyle w:val="BodyText2"/>
        <w:rPr/>
      </w:pPr>
      <w:r>
        <w:rPr/>
        <w:t>Pursuant to Rule 36 of the Federal Rules of Civil Procedure, Rule 7036 of the Federal Rules of Bankruptcy Procedure, and the Mediator Judge Zampano’s November 10, 2000,  Discovery Scheduling Order, Defendant, Enron Power Marketing, Inc., hereby requests that Plaintiff, PCA Liquidating Trust (“Trust”) respond by admitting or denying each request for admission set forth below.</w:t>
      </w:r>
      <w:r>
        <w:br w:type="page"/>
      </w:r>
    </w:p>
    <w:p>
      <w:pPr>
        <w:pStyle w:val="Heading"/>
        <w:rPr>
          <w:u w:val="single"/>
        </w:rPr>
      </w:pPr>
      <w:r>
        <w:rPr>
          <w:u w:val="single"/>
        </w:rPr>
        <w:t>DEFINITIONS</w:t>
      </w:r>
    </w:p>
    <w:p>
      <w:pPr>
        <w:pStyle w:val="StandardL1"/>
        <w:numPr>
          <w:ilvl w:val="0"/>
          <w:numId w:val="15"/>
        </w:numPr>
        <w:ind w:hanging="0" w:start="0"/>
        <w:rPr/>
      </w:pPr>
      <w:r>
        <w:rPr/>
        <w:t>As used herein, the words “and” and “or” shall be construed either disjunctively or conjunctively as necessary to bring within the scope of the request all responses that might otherwise be construed to be outside its scope.</w:t>
      </w:r>
    </w:p>
    <w:p>
      <w:pPr>
        <w:pStyle w:val="StandardL1"/>
        <w:numPr>
          <w:ilvl w:val="0"/>
          <w:numId w:val="15"/>
        </w:numPr>
        <w:ind w:hanging="0" w:start="0"/>
        <w:rPr/>
      </w:pPr>
      <w:r>
        <w:rPr/>
        <w:t>As used herein, the terms “you,” “your,” “Trustee,” or “Trust” refer to plaintiff Goldin Associates, L.L.C., Trustee for the PCA Liquidating Trust or the PCA Liquidating Trust and each of its agents, employees, officers, directors, attorneys, parent(s), affiliates and predecessors.</w:t>
      </w:r>
    </w:p>
    <w:p>
      <w:pPr>
        <w:pStyle w:val="StandardL1"/>
        <w:numPr>
          <w:ilvl w:val="0"/>
          <w:numId w:val="15"/>
        </w:numPr>
        <w:ind w:hanging="0" w:start="0"/>
        <w:rPr/>
      </w:pPr>
      <w:r>
        <w:rPr/>
        <w:t>As used herein, the term “PCA” refers to The Power Company of America, L.P., and each of its agents, employees, officers, directors, attorneys, parent(s), affiliates and predecessors.</w:t>
      </w:r>
    </w:p>
    <w:p>
      <w:pPr>
        <w:pStyle w:val="StandardL1"/>
        <w:numPr>
          <w:ilvl w:val="0"/>
          <w:numId w:val="15"/>
        </w:numPr>
        <w:ind w:hanging="0" w:start="0"/>
        <w:rPr/>
      </w:pPr>
      <w:r>
        <w:rPr/>
        <w:t>As used herein, the word “Complaint” means the complaint filed by you in the above-captioned Adversary Proceeding.</w:t>
      </w:r>
    </w:p>
    <w:p>
      <w:pPr>
        <w:pStyle w:val="StandardL1"/>
        <w:numPr>
          <w:ilvl w:val="0"/>
          <w:numId w:val="15"/>
        </w:numPr>
        <w:ind w:hanging="0" w:start="0"/>
        <w:rPr/>
      </w:pPr>
      <w:r>
        <w:rPr/>
        <w:t>As used herein, the word “communication(s)” means the transmittal of information (in the form of facts, ideas, inquiries or otherwise), including, but not limited to, documents, telephone or face-to-face conversations, electronic mail transmissions, meetings, or conferences.</w:t>
      </w:r>
    </w:p>
    <w:p>
      <w:pPr>
        <w:pStyle w:val="StandardL1"/>
        <w:numPr>
          <w:ilvl w:val="0"/>
          <w:numId w:val="15"/>
        </w:numPr>
        <w:ind w:hanging="0" w:start="0"/>
        <w:rPr/>
      </w:pPr>
      <w:r>
        <w:rPr/>
        <w:t>As used herein, the words “Pending Transactions” mean the transactions listed in Exhibit A attached hereto.</w:t>
      </w:r>
    </w:p>
    <w:p>
      <w:pPr>
        <w:pStyle w:val="StandardL1"/>
        <w:numPr>
          <w:ilvl w:val="0"/>
          <w:numId w:val="15"/>
        </w:numPr>
        <w:ind w:hanging="0" w:start="0"/>
        <w:rPr/>
      </w:pPr>
      <w:r>
        <w:rPr/>
        <w:t>As used herein, the words “Master Agreement” mean the Master Energy Purchase and Sale Agreement dated as of November 1, 1996 between PCA and EPMI.</w:t>
      </w:r>
    </w:p>
    <w:p>
      <w:pPr>
        <w:pStyle w:val="StandardL1"/>
        <w:numPr>
          <w:ilvl w:val="0"/>
          <w:numId w:val="15"/>
        </w:numPr>
        <w:ind w:hanging="0" w:start="0"/>
        <w:rPr/>
      </w:pPr>
      <w:r>
        <w:rPr/>
        <w:t>As used herein, the word “EPMI” means Enron Power Marketing, Inc., and its agents, employees, officers, directors, attorneys, parent(s), and predecessors..</w:t>
      </w:r>
    </w:p>
    <w:p>
      <w:pPr>
        <w:pStyle w:val="StandardL1"/>
        <w:numPr>
          <w:ilvl w:val="0"/>
          <w:numId w:val="15"/>
        </w:numPr>
        <w:ind w:hanging="0" w:start="0"/>
        <w:rPr/>
      </w:pPr>
      <w:r>
        <w:rPr/>
        <w:t>As used herein, the words “June 25 Letter” mean the letter dated June 25, 1998, from EPMI to PCA, attached as Exhibit B.</w:t>
      </w:r>
    </w:p>
    <w:p>
      <w:pPr>
        <w:pStyle w:val="StandardL1"/>
        <w:numPr>
          <w:ilvl w:val="0"/>
          <w:numId w:val="15"/>
        </w:numPr>
        <w:ind w:hanging="0" w:start="0"/>
        <w:rPr/>
      </w:pPr>
      <w:r>
        <w:rPr/>
        <w:t>As used herein, the words “July 1 Letter” mean the letter dated July 1, 1998, from EPMI to PCA, as attached as Exhibit C.</w:t>
      </w:r>
    </w:p>
    <w:p>
      <w:pPr>
        <w:pStyle w:val="StandardL1"/>
        <w:numPr>
          <w:ilvl w:val="0"/>
          <w:numId w:val="15"/>
        </w:numPr>
        <w:ind w:hanging="0" w:start="0"/>
        <w:rPr/>
      </w:pPr>
      <w:r>
        <w:rPr/>
        <w:t>As used herein, the words “PCA May Payable” mean the payment due by PCA to EPMI on or before June 18, 1998, in the amount of $1,432,961.80, and evidenced by Invoice No. N199806, attached as Exhibit D.</w:t>
      </w:r>
    </w:p>
    <w:p>
      <w:pPr>
        <w:pStyle w:val="StandardL1"/>
        <w:numPr>
          <w:ilvl w:val="0"/>
          <w:numId w:val="15"/>
        </w:numPr>
        <w:ind w:hanging="0" w:start="0"/>
        <w:rPr/>
      </w:pPr>
      <w:r>
        <w:rPr/>
        <w:t>As used herein, the words “May Deliveries” mean the 441,152 MW/hr of power delivered to PCA as reflected in the June Invoice.</w:t>
      </w:r>
    </w:p>
    <w:p>
      <w:pPr>
        <w:pStyle w:val="StandardL1"/>
        <w:numPr>
          <w:ilvl w:val="0"/>
          <w:numId w:val="15"/>
        </w:numPr>
        <w:ind w:hanging="0" w:start="0"/>
        <w:rPr/>
      </w:pPr>
      <w:r>
        <w:rPr/>
        <w:t>As used herein, the words “June Invoice” mean the EPMI Invoice dated June 8, 1998, Invoice No. N199806 in the amount of $1,432,961.80, attached as Exhibit D.</w:t>
      </w:r>
    </w:p>
    <w:p>
      <w:pPr>
        <w:pStyle w:val="StandardL1"/>
        <w:numPr>
          <w:ilvl w:val="0"/>
          <w:numId w:val="15"/>
        </w:numPr>
        <w:ind w:hanging="0" w:start="0"/>
        <w:rPr/>
      </w:pPr>
      <w:r>
        <w:rPr/>
        <w:t>As used herein, the words “New York Office” mean PCA’s office at 450 Park Avenue, Suite 403, New York, New York 10022.</w:t>
      </w:r>
    </w:p>
    <w:p>
      <w:pPr>
        <w:pStyle w:val="StandardL1"/>
        <w:numPr>
          <w:ilvl w:val="0"/>
          <w:numId w:val="15"/>
        </w:numPr>
        <w:ind w:hanging="0" w:start="0"/>
        <w:rPr/>
      </w:pPr>
      <w:r>
        <w:rPr/>
        <w:t>As used herein, the word “Connecticut Office” mean PCA’s office at Two Greenwich Plaza, Second Floor, Greenwich, Connecticut 06830.</w:t>
      </w:r>
    </w:p>
    <w:p>
      <w:pPr>
        <w:pStyle w:val="Heading"/>
        <w:spacing w:before="240" w:after="240"/>
        <w:rPr>
          <w:u w:val="single"/>
        </w:rPr>
      </w:pPr>
      <w:r>
        <w:rPr>
          <w:u w:val="single"/>
        </w:rPr>
        <w:t>REQUESTS</w:t>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w:t>
      </w:r>
      <w:r>
        <w:rPr>
          <w:u w:val="single"/>
          <w:b/>
        </w:rPr>
        <w:fldChar w:fldCharType="end"/>
      </w:r>
      <w:r>
        <w:rPr>
          <w:b/>
        </w:rPr>
        <w:t>:</w:t>
      </w:r>
    </w:p>
    <w:p>
      <w:pPr>
        <w:pStyle w:val="BodyText"/>
        <w:rPr/>
      </w:pPr>
      <w:r>
        <w:rPr/>
        <w:t>Admit that EPMI delivered 441,152 MW/hr of power to PCA during May,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2</w:t>
      </w:r>
      <w:r>
        <w:rPr>
          <w:u w:val="single"/>
          <w:b/>
        </w:rPr>
        <w:fldChar w:fldCharType="end"/>
      </w:r>
      <w:r>
        <w:rPr>
          <w:b/>
        </w:rPr>
        <w:t>:</w:t>
      </w:r>
    </w:p>
    <w:p>
      <w:pPr>
        <w:pStyle w:val="BodyText"/>
        <w:rPr/>
      </w:pPr>
      <w:r>
        <w:rPr/>
        <w:t>Admit that PCA was required to pay the PCA May Payable evidenced by the June Invoice to EPMI no later than June 18,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3</w:t>
      </w:r>
      <w:r>
        <w:rPr>
          <w:u w:val="single"/>
          <w:b/>
        </w:rPr>
        <w:fldChar w:fldCharType="end"/>
      </w:r>
      <w:r>
        <w:rPr>
          <w:b/>
        </w:rPr>
        <w:t>:</w:t>
      </w:r>
    </w:p>
    <w:p>
      <w:pPr>
        <w:pStyle w:val="BodyText"/>
        <w:rPr/>
      </w:pPr>
      <w:r>
        <w:rPr/>
        <w:t>Admit that PCA failed to pay the PCA May Payable to EPMI as required in the June Invoice on or before June 18,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4</w:t>
      </w:r>
      <w:r>
        <w:rPr>
          <w:u w:val="single"/>
          <w:b/>
        </w:rPr>
        <w:fldChar w:fldCharType="end"/>
      </w:r>
      <w:r>
        <w:rPr>
          <w:b/>
        </w:rPr>
        <w:t>:</w:t>
      </w:r>
    </w:p>
    <w:p>
      <w:pPr>
        <w:pStyle w:val="BodyText"/>
        <w:rPr/>
      </w:pPr>
      <w:r>
        <w:rPr/>
        <w:t>Admit that PCA was not excused, either in fact or in law, from paying the PCA May Payable on or before June 18,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5</w:t>
      </w:r>
      <w:r>
        <w:rPr>
          <w:u w:val="single"/>
          <w:b/>
        </w:rPr>
        <w:fldChar w:fldCharType="end"/>
      </w:r>
      <w:r>
        <w:rPr>
          <w:b/>
        </w:rPr>
        <w:t>:</w:t>
      </w:r>
    </w:p>
    <w:p>
      <w:pPr>
        <w:pStyle w:val="BodyText"/>
        <w:rPr/>
      </w:pPr>
      <w:r>
        <w:rPr/>
        <w:t>Admit that on June 25, 1998, EPMI informed PCA by facsimile transmission that PCA had failed to pay the PCA May Payable to EPMI on or before June 18,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6</w:t>
      </w:r>
      <w:r>
        <w:rPr>
          <w:u w:val="single"/>
          <w:b/>
        </w:rPr>
        <w:fldChar w:fldCharType="end"/>
      </w:r>
      <w:r>
        <w:rPr>
          <w:b/>
        </w:rPr>
        <w:t>:</w:t>
      </w:r>
    </w:p>
    <w:p>
      <w:pPr>
        <w:pStyle w:val="BodyText"/>
        <w:rPr/>
      </w:pPr>
      <w:r>
        <w:rPr/>
        <w:t>Admit that on June 25, 1998, PCA received the June 25 Letter by facsimile transmission.</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7</w:t>
      </w:r>
      <w:r>
        <w:rPr>
          <w:u w:val="single"/>
          <w:b/>
        </w:rPr>
        <w:fldChar w:fldCharType="end"/>
      </w:r>
      <w:r>
        <w:rPr>
          <w:b/>
        </w:rPr>
        <w:t>:</w:t>
      </w:r>
    </w:p>
    <w:p>
      <w:pPr>
        <w:pStyle w:val="BodyText"/>
        <w:rPr/>
      </w:pPr>
      <w:r>
        <w:rPr/>
        <w:t>Admit that as of the date of the June 25 Letter, PCA owed the PCA May Payable to EPMI.</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8</w:t>
      </w:r>
      <w:r>
        <w:rPr>
          <w:u w:val="single"/>
          <w:b/>
        </w:rPr>
        <w:fldChar w:fldCharType="end"/>
      </w:r>
      <w:r>
        <w:rPr>
          <w:b/>
        </w:rPr>
        <w:t>:</w:t>
      </w:r>
    </w:p>
    <w:p>
      <w:pPr>
        <w:pStyle w:val="BodyText"/>
        <w:rPr/>
      </w:pPr>
      <w:r>
        <w:rPr/>
        <w:t>Admit that PCA never paid the PCA May Payable to EPMI.</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9</w:t>
      </w:r>
      <w:r>
        <w:rPr>
          <w:u w:val="single"/>
          <w:b/>
        </w:rPr>
        <w:fldChar w:fldCharType="end"/>
      </w:r>
      <w:r>
        <w:rPr>
          <w:b/>
        </w:rPr>
        <w:t>:</w:t>
      </w:r>
    </w:p>
    <w:p>
      <w:pPr>
        <w:pStyle w:val="BodyText"/>
        <w:rPr/>
      </w:pPr>
      <w:r>
        <w:rPr/>
        <w:t>Admit that the Pending Transactions were pending as of July 7, 1998.</w:t>
      </w:r>
    </w:p>
    <w:p>
      <w:pPr>
        <w:pStyle w:val="Normal"/>
        <w:rPr>
          <w:b/>
        </w:rPr>
      </w:pPr>
      <w:r>
        <w:rPr>
          <w:b/>
        </w:rPr>
        <w:t>Response:</w:t>
      </w:r>
    </w:p>
    <w:p>
      <w:pPr>
        <w:pStyle w:val="Normal"/>
        <w:rPr/>
      </w:pPr>
      <w:r>
        <w:rPr/>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10</w:t>
      </w:r>
      <w:r>
        <w:rPr>
          <w:u w:val="single"/>
          <w:b/>
        </w:rPr>
        <w:fldChar w:fldCharType="end"/>
      </w:r>
      <w:r>
        <w:rPr>
          <w:b/>
        </w:rPr>
        <w:t>:</w:t>
      </w:r>
    </w:p>
    <w:p>
      <w:pPr>
        <w:pStyle w:val="BodyText"/>
        <w:rPr/>
      </w:pPr>
      <w:r>
        <w:rPr/>
        <w:t>Admit that on July 1, 1998, EPMI sent the July 1 Letter by facsimile transmission and Federal Express terminating all Pending Transactions under the power sale agreement between it and PCA, effective July 8,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11</w:t>
      </w:r>
      <w:r>
        <w:rPr>
          <w:u w:val="single"/>
          <w:b/>
        </w:rPr>
        <w:fldChar w:fldCharType="end"/>
      </w:r>
      <w:r>
        <w:rPr>
          <w:b/>
        </w:rPr>
        <w:t>:</w:t>
      </w:r>
    </w:p>
    <w:p>
      <w:pPr>
        <w:pStyle w:val="BodyText"/>
        <w:rPr/>
      </w:pPr>
      <w:r>
        <w:rPr/>
        <w:t>Admit that EPMI properly terminated the Pending Transactions under the Master Agreement.</w:t>
      </w:r>
    </w:p>
    <w:p>
      <w:pPr>
        <w:pStyle w:val="Normal"/>
        <w:rPr>
          <w:b/>
        </w:rPr>
      </w:pPr>
      <w:r>
        <w:rPr>
          <w:b/>
        </w:rPr>
        <w:t>Response:</w:t>
      </w:r>
    </w:p>
    <w:p>
      <w:pPr>
        <w:pStyle w:val="Normal"/>
        <w:rPr/>
      </w:pPr>
      <w:r>
        <w:rPr/>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12</w:t>
      </w:r>
      <w:r>
        <w:rPr>
          <w:u w:val="single"/>
          <w:b/>
        </w:rPr>
        <w:fldChar w:fldCharType="end"/>
      </w:r>
      <w:r>
        <w:rPr>
          <w:b/>
        </w:rPr>
        <w:t>:</w:t>
      </w:r>
    </w:p>
    <w:p>
      <w:pPr>
        <w:pStyle w:val="BodyText"/>
        <w:rPr/>
      </w:pPr>
      <w:r>
        <w:rPr/>
        <w:t>Admit that PCA did not enter into any new transactions with any other counterparty to purchase power that would replace the power that was to have been supplied by EPMI under the Pending Transactions subject to the July 1 Letter.</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13</w:t>
      </w:r>
      <w:r>
        <w:rPr>
          <w:u w:val="single"/>
          <w:b/>
        </w:rPr>
        <w:fldChar w:fldCharType="end"/>
      </w:r>
      <w:r>
        <w:rPr>
          <w:b/>
        </w:rPr>
        <w:t>:</w:t>
      </w:r>
    </w:p>
    <w:p>
      <w:pPr>
        <w:pStyle w:val="BodyText"/>
        <w:rPr/>
      </w:pPr>
      <w:r>
        <w:rPr/>
        <w:t>Admit that PCA’s payment of $369,803.50 on June 1, 1998 for the net balance owing EPMI for April electric power transactions was made in the ordinary course of PCA’s business, made pursuant to ordinary business terms, and made pursuant to the ordinary course of the electricity trading market.</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14</w:t>
      </w:r>
      <w:r>
        <w:rPr>
          <w:u w:val="single"/>
          <w:b/>
        </w:rPr>
        <w:fldChar w:fldCharType="end"/>
      </w:r>
      <w:r>
        <w:rPr>
          <w:b/>
        </w:rPr>
        <w:t>:</w:t>
      </w:r>
    </w:p>
    <w:p>
      <w:pPr>
        <w:pStyle w:val="BodyText"/>
        <w:rPr/>
      </w:pPr>
      <w:r>
        <w:rPr/>
        <w:t>Admit that EPMI provided new value to PCA, as defined by section 547(c)(4) of the Bankruptcy Code, to PCA in an amount in excess of $369,803.50 after PCA paid $369,803.50 to EPMI on June 1, 1998.</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15</w:t>
      </w:r>
      <w:r>
        <w:rPr>
          <w:u w:val="single"/>
          <w:b/>
        </w:rPr>
        <w:fldChar w:fldCharType="end"/>
      </w:r>
      <w:r>
        <w:rPr>
          <w:b/>
        </w:rPr>
        <w:t>:</w:t>
      </w:r>
    </w:p>
    <w:p>
      <w:pPr>
        <w:pStyle w:val="BodyText"/>
        <w:rPr/>
      </w:pPr>
      <w:r>
        <w:rPr/>
        <w:t>Admit that EPMI is entitled to set off the amounts due from PCA as of the petition date against any award of damages for EPMI’s alleged breach or wrongful termination of the Master Agreement or EPMI’s alleged unjust enrichment.</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16</w:t>
      </w:r>
      <w:r>
        <w:rPr>
          <w:u w:val="single"/>
          <w:b/>
        </w:rPr>
        <w:fldChar w:fldCharType="end"/>
      </w:r>
      <w:r>
        <w:rPr>
          <w:b/>
        </w:rPr>
        <w:t>:</w:t>
      </w:r>
    </w:p>
    <w:p>
      <w:pPr>
        <w:pStyle w:val="BodyText"/>
        <w:rPr/>
      </w:pPr>
      <w:r>
        <w:rPr/>
        <w:t>Admit that as of June 25, 1998, PCA was no longer conducting daily business activities at its New York Office.</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17</w:t>
      </w:r>
      <w:r>
        <w:rPr>
          <w:u w:val="single"/>
          <w:b/>
        </w:rPr>
        <w:fldChar w:fldCharType="end"/>
      </w:r>
      <w:r>
        <w:rPr>
          <w:b/>
        </w:rPr>
        <w:t>:</w:t>
      </w:r>
    </w:p>
    <w:p>
      <w:pPr>
        <w:pStyle w:val="BodyText"/>
        <w:rPr/>
      </w:pPr>
      <w:r>
        <w:rPr/>
        <w:t>Admit that prior to June 25, 1998, PCA accepted and acted upon EPMI confirmation letters and other correspondence addressed and transmitted to PCA at its Connecticut Office.</w:t>
      </w:r>
    </w:p>
    <w:p>
      <w:pPr>
        <w:pStyle w:val="Normal"/>
        <w:rPr>
          <w:b/>
        </w:rPr>
      </w:pPr>
      <w:r>
        <w:rPr>
          <w:b/>
        </w:rPr>
        <w:t>Response:</w:t>
      </w:r>
    </w:p>
    <w:p>
      <w:pPr>
        <w:pStyle w:val="Normal"/>
        <w:rPr/>
      </w:pPr>
      <w:r>
        <w:rPr/>
      </w:r>
    </w:p>
    <w:p>
      <w:pPr>
        <w:pStyle w:val="Normal"/>
        <w:rPr/>
      </w:pPr>
      <w:r>
        <w:rPr/>
      </w:r>
    </w:p>
    <w:p>
      <w:pPr>
        <w:pStyle w:val="Normal"/>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18</w:t>
      </w:r>
      <w:r>
        <w:rPr>
          <w:u w:val="single"/>
          <w:b/>
        </w:rPr>
        <w:fldChar w:fldCharType="end"/>
      </w:r>
      <w:r>
        <w:rPr>
          <w:b/>
        </w:rPr>
        <w:t>:</w:t>
      </w:r>
    </w:p>
    <w:p>
      <w:pPr>
        <w:pStyle w:val="BodyText"/>
        <w:rPr/>
      </w:pPr>
      <w:r>
        <w:rPr/>
        <w:t>Admit that prior to June 25, 1998, PCA did not enforce the notice provision of section 8.3 of the Master Agreement.</w:t>
      </w:r>
    </w:p>
    <w:p>
      <w:pPr>
        <w:pStyle w:val="Normal"/>
        <w:rPr>
          <w:b/>
        </w:rPr>
      </w:pPr>
      <w:r>
        <w:rPr>
          <w:b/>
        </w:rPr>
        <w:t>Response:</w:t>
      </w:r>
    </w:p>
    <w:p>
      <w:pPr>
        <w:pStyle w:val="Normal"/>
        <w:rPr/>
      </w:pPr>
      <w:r>
        <w:rPr/>
      </w:r>
    </w:p>
    <w:p>
      <w:pPr>
        <w:pStyle w:val="Normal"/>
        <w:rPr/>
      </w:pPr>
      <w:r>
        <w:rPr/>
      </w:r>
    </w:p>
    <w:p>
      <w:pPr>
        <w:pStyle w:val="BodyText"/>
        <w:ind w:hanging="0" w:end="0"/>
        <w:rPr/>
      </w:pPr>
      <w:r>
        <w:rPr/>
      </w:r>
    </w:p>
    <w:p>
      <w:pPr>
        <w:pStyle w:val="Normal"/>
        <w:keepNext w:val="true"/>
        <w:keepLines/>
        <w:tabs>
          <w:tab w:val="clear" w:pos="720"/>
          <w:tab w:val="right" w:pos="4640" w:leader="none"/>
        </w:tabs>
        <w:spacing w:lineRule="auto" w:line="480"/>
        <w:rPr/>
      </w:pPr>
      <w:r>
        <w:rPr>
          <w:b/>
          <w:u w:val="single"/>
        </w:rPr>
        <w:t xml:space="preserve">Request No. </w:t>
      </w:r>
      <w:r>
        <w:rPr>
          <w:b/>
          <w:u w:val="single"/>
        </w:rPr>
        <w:fldChar w:fldCharType="begin"/>
      </w:r>
      <w:r>
        <w:rPr>
          <w:u w:val="single"/>
          <w:b/>
        </w:rPr>
        <w:instrText xml:space="preserve"> SEQ AutoNr \* ARABIC </w:instrText>
      </w:r>
      <w:r>
        <w:rPr>
          <w:u w:val="single"/>
          <w:b/>
        </w:rPr>
        <w:fldChar w:fldCharType="separate"/>
      </w:r>
      <w:r>
        <w:rPr>
          <w:u w:val="single"/>
          <w:b/>
        </w:rPr>
        <w:t>19</w:t>
      </w:r>
      <w:r>
        <w:rPr>
          <w:u w:val="single"/>
          <w:b/>
        </w:rPr>
        <w:fldChar w:fldCharType="end"/>
      </w:r>
      <w:r>
        <w:rPr>
          <w:b/>
        </w:rPr>
        <w:t>:</w:t>
      </w:r>
    </w:p>
    <w:p>
      <w:pPr>
        <w:pStyle w:val="BodyText"/>
        <w:rPr/>
      </w:pPr>
      <w:r>
        <w:rPr/>
        <w:t>Admit that after the Master Agreement was entered into, PCA never informed EPMI that notices, requests, or statements must be sent to the New York Office listed on Exhibit A of the Master Agreement.</w:t>
      </w:r>
    </w:p>
    <w:p>
      <w:pPr>
        <w:pStyle w:val="Normal"/>
        <w:rPr>
          <w:b/>
        </w:rPr>
      </w:pPr>
      <w:r>
        <w:rPr>
          <w:b/>
        </w:rPr>
        <w:t>Response:</w:t>
      </w:r>
    </w:p>
    <w:p>
      <w:pPr>
        <w:pStyle w:val="Normal"/>
        <w:rPr/>
      </w:pPr>
      <w:r>
        <w:rPr/>
      </w:r>
    </w:p>
    <w:p>
      <w:pPr>
        <w:pStyle w:val="Normal"/>
        <w:rPr/>
      </w:pPr>
      <w:r>
        <w:rPr/>
      </w:r>
      <w:r>
        <w:br w:type="page"/>
      </w:r>
    </w:p>
    <w:p>
      <w:pPr>
        <w:pStyle w:val="BodyText"/>
        <w:ind w:hanging="0" w:end="0"/>
        <w:rPr/>
      </w:pPr>
      <w:r>
        <w:rPr/>
      </w:r>
    </w:p>
    <w:p>
      <w:pPr>
        <w:pStyle w:val="Normal"/>
        <w:rPr/>
      </w:pPr>
      <w:r>
        <w:rPr/>
        <w:t>Dated:</w:t>
        <w:tab/>
        <w:t>Bridgeport, Connecticut</w:t>
      </w:r>
    </w:p>
    <w:p>
      <w:pPr>
        <w:pStyle w:val="Normal"/>
        <w:spacing w:before="0" w:after="360"/>
        <w:ind w:start="720" w:end="0"/>
        <w:rPr/>
      </w:pPr>
      <w:r>
        <w:rPr/>
        <w:t>January ___, 2001</w:t>
      </w:r>
    </w:p>
    <w:p>
      <w:pPr>
        <w:pStyle w:val="Signature"/>
        <w:rPr/>
      </w:pPr>
      <w:r>
        <w:rPr/>
        <w:t>Respectfully submitted,</w:t>
      </w:r>
    </w:p>
    <w:p>
      <w:pPr>
        <w:pStyle w:val="Signature"/>
        <w:spacing w:before="0" w:after="480"/>
        <w:rPr/>
      </w:pPr>
      <w:r>
        <w:rPr/>
        <w:t>PULLMAN &amp; COMLEY, L.L.C.</w:t>
      </w:r>
    </w:p>
    <w:p>
      <w:pPr>
        <w:pStyle w:val="Signature"/>
        <w:spacing w:before="0" w:after="0"/>
        <w:rPr/>
      </w:pPr>
      <w:r>
        <w:rPr/>
        <w:t>By:______________________________________</w:t>
      </w:r>
    </w:p>
    <w:p>
      <w:pPr>
        <w:pStyle w:val="Signature"/>
        <w:tabs>
          <w:tab w:val="clear" w:pos="720"/>
          <w:tab w:val="right" w:pos="9360" w:leader="none"/>
        </w:tabs>
        <w:spacing w:before="0" w:after="0"/>
        <w:ind w:start="4680" w:end="0"/>
        <w:rPr/>
      </w:pPr>
      <w:r>
        <w:rPr/>
        <w:t>Elizabeth J. Austin</w:t>
      </w:r>
    </w:p>
    <w:p>
      <w:pPr>
        <w:pStyle w:val="Signature"/>
        <w:tabs>
          <w:tab w:val="clear" w:pos="720"/>
          <w:tab w:val="right" w:pos="9360" w:leader="none"/>
        </w:tabs>
        <w:spacing w:before="0" w:after="0"/>
        <w:ind w:start="4680" w:end="0"/>
        <w:rPr/>
      </w:pPr>
      <w:r>
        <w:rPr/>
        <w:t>Federal Bar No. (ct04384)</w:t>
      </w:r>
    </w:p>
    <w:p>
      <w:pPr>
        <w:pStyle w:val="Signature"/>
        <w:tabs>
          <w:tab w:val="clear" w:pos="720"/>
          <w:tab w:val="right" w:pos="9360" w:leader="none"/>
        </w:tabs>
        <w:spacing w:before="0" w:after="0"/>
        <w:ind w:start="4680" w:end="0"/>
        <w:rPr/>
      </w:pPr>
      <w:r>
        <w:rPr/>
        <w:t>850 Main Street</w:t>
      </w:r>
    </w:p>
    <w:p>
      <w:pPr>
        <w:pStyle w:val="Signature"/>
        <w:tabs>
          <w:tab w:val="clear" w:pos="720"/>
          <w:tab w:val="right" w:pos="9360" w:leader="none"/>
        </w:tabs>
        <w:spacing w:before="0" w:after="0"/>
        <w:ind w:start="4680" w:end="0"/>
        <w:rPr/>
      </w:pPr>
      <w:r>
        <w:rPr/>
        <w:t>Bridgeport, CT  06601-7006</w:t>
      </w:r>
    </w:p>
    <w:p>
      <w:pPr>
        <w:pStyle w:val="Signature"/>
        <w:tabs>
          <w:tab w:val="clear" w:pos="720"/>
          <w:tab w:val="right" w:pos="9360" w:leader="none"/>
        </w:tabs>
        <w:spacing w:before="0" w:after="0"/>
        <w:ind w:start="4680" w:end="0"/>
        <w:rPr/>
      </w:pPr>
      <w:r>
        <w:rPr/>
        <w:t>(203) 330-2000 (telephone)</w:t>
      </w:r>
    </w:p>
    <w:p>
      <w:pPr>
        <w:pStyle w:val="Signature"/>
        <w:tabs>
          <w:tab w:val="clear" w:pos="720"/>
          <w:tab w:val="right" w:pos="9360" w:leader="none"/>
        </w:tabs>
        <w:spacing w:before="0" w:after="0"/>
        <w:ind w:start="4680" w:end="0"/>
        <w:rPr/>
      </w:pPr>
      <w:r>
        <w:rPr/>
        <w:t>(203) 576-888 (facsimile)</w:t>
      </w:r>
    </w:p>
    <w:p>
      <w:pPr>
        <w:pStyle w:val="Signature"/>
        <w:spacing w:before="120" w:after="120"/>
        <w:ind w:start="5760" w:end="0"/>
        <w:rPr/>
      </w:pPr>
      <w:r>
        <w:rPr/>
        <w:t xml:space="preserve">- and - </w:t>
      </w:r>
    </w:p>
    <w:p>
      <w:pPr>
        <w:pStyle w:val="Signature"/>
        <w:spacing w:before="0" w:after="0"/>
        <w:rPr/>
      </w:pPr>
      <w:r>
        <w:rPr/>
        <w:t>WEIL, GOTSHAL &amp; MANGES LLP</w:t>
      </w:r>
    </w:p>
    <w:p>
      <w:pPr>
        <w:pStyle w:val="Signature"/>
        <w:tabs>
          <w:tab w:val="clear" w:pos="720"/>
          <w:tab w:val="right" w:pos="9360" w:leader="none"/>
        </w:tabs>
        <w:spacing w:before="0" w:after="0"/>
        <w:ind w:start="4680" w:end="0"/>
        <w:rPr/>
      </w:pPr>
      <w:r>
        <w:rPr/>
        <w:t>Melanie Gray</w:t>
      </w:r>
    </w:p>
    <w:p>
      <w:pPr>
        <w:pStyle w:val="Signature"/>
        <w:tabs>
          <w:tab w:val="clear" w:pos="720"/>
          <w:tab w:val="right" w:pos="9360" w:leader="none"/>
        </w:tabs>
        <w:spacing w:before="0" w:after="0"/>
        <w:ind w:start="4680" w:end="0"/>
        <w:rPr/>
      </w:pPr>
      <w:r>
        <w:rPr/>
        <w:t>State Bar No. 08327980</w:t>
      </w:r>
    </w:p>
    <w:p>
      <w:pPr>
        <w:pStyle w:val="Signature"/>
        <w:tabs>
          <w:tab w:val="clear" w:pos="720"/>
          <w:tab w:val="right" w:pos="9360" w:leader="none"/>
        </w:tabs>
        <w:spacing w:before="0" w:after="0"/>
        <w:ind w:start="4680" w:end="0"/>
        <w:rPr/>
      </w:pPr>
      <w:r>
        <w:rPr/>
        <w:t>S.D. Tex. No. 2650</w:t>
      </w:r>
    </w:p>
    <w:p>
      <w:pPr>
        <w:pStyle w:val="Signature"/>
        <w:tabs>
          <w:tab w:val="clear" w:pos="720"/>
          <w:tab w:val="right" w:pos="9360" w:leader="none"/>
        </w:tabs>
        <w:spacing w:before="0" w:after="0"/>
        <w:ind w:start="4680" w:end="0"/>
        <w:rPr/>
      </w:pPr>
      <w:r>
        <w:rPr/>
        <w:t>700 Louisiana, Suite 1600</w:t>
      </w:r>
    </w:p>
    <w:p>
      <w:pPr>
        <w:pStyle w:val="Signature"/>
        <w:tabs>
          <w:tab w:val="clear" w:pos="720"/>
          <w:tab w:val="right" w:pos="9360" w:leader="none"/>
        </w:tabs>
        <w:spacing w:before="0" w:after="0"/>
        <w:ind w:start="4680" w:end="0"/>
        <w:rPr/>
      </w:pPr>
      <w:r>
        <w:rPr/>
        <w:t>Houston, Texas  77002</w:t>
      </w:r>
    </w:p>
    <w:p>
      <w:pPr>
        <w:pStyle w:val="Signature"/>
        <w:tabs>
          <w:tab w:val="clear" w:pos="720"/>
          <w:tab w:val="right" w:pos="9360" w:leader="none"/>
        </w:tabs>
        <w:spacing w:before="0" w:after="0"/>
        <w:ind w:start="4680" w:end="0"/>
        <w:rPr/>
      </w:pPr>
      <w:r>
        <w:rPr/>
        <w:t>(713) 546-5000 (telephone)</w:t>
      </w:r>
    </w:p>
    <w:p>
      <w:pPr>
        <w:pStyle w:val="Signature"/>
        <w:tabs>
          <w:tab w:val="clear" w:pos="720"/>
          <w:tab w:val="right" w:pos="9360" w:leader="none"/>
        </w:tabs>
        <w:spacing w:before="0" w:after="0"/>
        <w:ind w:start="4680" w:end="0"/>
        <w:rPr/>
      </w:pPr>
      <w:r>
        <w:rPr/>
        <w:t>(713) 224-9511 (facsimile)</w:t>
      </w:r>
    </w:p>
    <w:p>
      <w:pPr>
        <w:pStyle w:val="Signature"/>
        <w:tabs>
          <w:tab w:val="clear" w:pos="720"/>
          <w:tab w:val="right" w:pos="9360" w:leader="none"/>
        </w:tabs>
        <w:spacing w:before="240" w:after="0"/>
        <w:rPr/>
      </w:pPr>
      <w:r>
        <w:rPr/>
        <w:t>Counsel for Enron Power Marketing, Inc.</w:t>
      </w:r>
    </w:p>
    <w:p>
      <w:pPr>
        <w:pStyle w:val="Signature"/>
        <w:tabs>
          <w:tab w:val="clear" w:pos="720"/>
          <w:tab w:val="right" w:pos="9360" w:leader="none"/>
        </w:tabs>
        <w:spacing w:before="240" w:after="0"/>
        <w:rPr/>
      </w:pPr>
      <w:r>
        <w:rPr/>
      </w:r>
      <w:r>
        <w:br w:type="page"/>
      </w:r>
    </w:p>
    <w:p>
      <w:pPr>
        <w:pStyle w:val="Signature"/>
        <w:tabs>
          <w:tab w:val="clear" w:pos="720"/>
          <w:tab w:val="right" w:pos="9360" w:leader="none"/>
        </w:tabs>
        <w:spacing w:before="0" w:after="0"/>
        <w:ind w:start="4680" w:end="0"/>
        <w:rPr/>
      </w:pPr>
      <w:r>
        <w:rPr/>
      </w:r>
    </w:p>
    <w:p>
      <w:pPr>
        <w:pStyle w:val="Signature"/>
        <w:tabs>
          <w:tab w:val="clear" w:pos="720"/>
          <w:tab w:val="right" w:pos="9360" w:leader="none"/>
        </w:tabs>
        <w:spacing w:before="0" w:after="0"/>
        <w:ind w:start="0" w:end="0"/>
        <w:jc w:val="center"/>
        <w:rPr>
          <w:b/>
          <w:u w:val="single"/>
        </w:rPr>
      </w:pPr>
      <w:r>
        <w:rPr>
          <w:b/>
          <w:u w:val="single"/>
        </w:rPr>
        <w:t>CERTIFICATE OF SERVICE</w:t>
      </w:r>
    </w:p>
    <w:p>
      <w:pPr>
        <w:pStyle w:val="Signature"/>
        <w:tabs>
          <w:tab w:val="clear" w:pos="720"/>
          <w:tab w:val="right" w:pos="9360" w:leader="none"/>
        </w:tabs>
        <w:spacing w:before="0" w:after="0"/>
        <w:ind w:start="0" w:end="0"/>
        <w:jc w:val="center"/>
        <w:rPr>
          <w:b/>
          <w:u w:val="single"/>
        </w:rPr>
      </w:pPr>
      <w:r>
        <w:rPr>
          <w:b/>
          <w:u w:val="single"/>
        </w:rPr>
      </w:r>
    </w:p>
    <w:p>
      <w:pPr>
        <w:pStyle w:val="BodyText2"/>
        <w:rPr/>
      </w:pPr>
      <w:r>
        <w:rPr/>
        <w:t xml:space="preserve">I hereby certify that a true and correct copy of the foregoing </w:t>
      </w:r>
      <w:r>
        <w:rPr>
          <w:rFonts w:cs="Times New Roman Bold;Times New Roman" w:ascii="Times New Roman Bold;Times New Roman" w:hAnsi="Times New Roman Bold;Times New Roman"/>
          <w:b/>
        </w:rPr>
        <w:t xml:space="preserve">Responses to Enron Power Marketing, Inc.’s Set of Requests for Admissions </w:t>
      </w:r>
      <w:r>
        <w:rPr/>
        <w:t>was served on the following counsel of record via certified mail, return receipt requested on January ___, 2001:</w:t>
      </w:r>
    </w:p>
    <w:p>
      <w:pPr>
        <w:pStyle w:val="Signature"/>
        <w:spacing w:before="0" w:after="0"/>
        <w:ind w:start="0" w:end="0"/>
        <w:rPr/>
      </w:pPr>
      <w:r>
        <w:rPr/>
      </w:r>
    </w:p>
    <w:p>
      <w:pPr>
        <w:pStyle w:val="Signature"/>
        <w:tabs>
          <w:tab w:val="clear" w:pos="720"/>
          <w:tab w:val="decimal" w:pos="-2160" w:leader="none"/>
        </w:tabs>
        <w:spacing w:before="0" w:after="0"/>
        <w:ind w:start="1440" w:end="0"/>
        <w:rPr>
          <w:b/>
          <w:i/>
          <w:i/>
        </w:rPr>
      </w:pPr>
      <w:r>
        <w:rPr>
          <w:b/>
          <w:i/>
        </w:rPr>
        <w:t>Via CMRRR</w:t>
      </w:r>
    </w:p>
    <w:p>
      <w:pPr>
        <w:pStyle w:val="Signature"/>
        <w:tabs>
          <w:tab w:val="clear" w:pos="720"/>
          <w:tab w:val="decimal" w:pos="-2160" w:leader="none"/>
        </w:tabs>
        <w:spacing w:before="0" w:after="0"/>
        <w:ind w:start="1440" w:end="0"/>
        <w:rPr/>
      </w:pPr>
      <w:r>
        <w:rPr/>
        <w:t>Craig I. Lifland</w:t>
      </w:r>
    </w:p>
    <w:p>
      <w:pPr>
        <w:pStyle w:val="Signature"/>
        <w:tabs>
          <w:tab w:val="clear" w:pos="720"/>
          <w:tab w:val="decimal" w:pos="-2160" w:leader="none"/>
        </w:tabs>
        <w:spacing w:before="0" w:after="0"/>
        <w:ind w:start="1440" w:end="0"/>
        <w:rPr/>
      </w:pPr>
      <w:r>
        <w:rPr/>
        <w:t>Zeisler &amp; Zeisler, P.C.</w:t>
      </w:r>
    </w:p>
    <w:p>
      <w:pPr>
        <w:pStyle w:val="Signature"/>
        <w:tabs>
          <w:tab w:val="clear" w:pos="720"/>
          <w:tab w:val="decimal" w:pos="-2160" w:leader="none"/>
        </w:tabs>
        <w:spacing w:before="0" w:after="0"/>
        <w:ind w:start="1440" w:end="0"/>
        <w:rPr/>
      </w:pPr>
      <w:r>
        <w:rPr/>
        <w:t>558 Clinton Avenue</w:t>
      </w:r>
    </w:p>
    <w:p>
      <w:pPr>
        <w:pStyle w:val="Signature"/>
        <w:tabs>
          <w:tab w:val="clear" w:pos="720"/>
          <w:tab w:val="decimal" w:pos="-2160" w:leader="none"/>
        </w:tabs>
        <w:spacing w:before="0" w:after="0"/>
        <w:ind w:start="1440" w:end="0"/>
        <w:rPr/>
      </w:pPr>
      <w:r>
        <w:rPr/>
        <w:t>Bridgeport, Connecticut 06605</w:t>
      </w:r>
    </w:p>
    <w:p>
      <w:pPr>
        <w:pStyle w:val="Signature"/>
        <w:tabs>
          <w:tab w:val="clear" w:pos="720"/>
          <w:tab w:val="decimal" w:pos="-2160" w:leader="none"/>
        </w:tabs>
        <w:spacing w:before="0" w:after="0"/>
        <w:ind w:start="1440" w:end="0"/>
        <w:rPr/>
      </w:pPr>
      <w:r>
        <w:rPr/>
        <w:t>(203) 368-4234</w:t>
      </w:r>
    </w:p>
    <w:p>
      <w:pPr>
        <w:pStyle w:val="Signature"/>
        <w:tabs>
          <w:tab w:val="clear" w:pos="720"/>
          <w:tab w:val="decimal" w:pos="-2160" w:leader="none"/>
        </w:tabs>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1440" w:end="0"/>
        <w:rPr>
          <w:b/>
          <w:i/>
          <w:i/>
        </w:rPr>
      </w:pPr>
      <w:r>
        <w:rPr>
          <w:b/>
          <w:i/>
        </w:rPr>
        <w:t>Via CMRRR</w:t>
      </w:r>
    </w:p>
    <w:p>
      <w:pPr>
        <w:pStyle w:val="Signature"/>
        <w:spacing w:before="0" w:after="0"/>
        <w:ind w:start="1440" w:end="0"/>
        <w:rPr/>
      </w:pPr>
      <w:r>
        <w:rPr/>
        <w:t>Herb S. Edelman</w:t>
      </w:r>
    </w:p>
    <w:p>
      <w:pPr>
        <w:pStyle w:val="Signature"/>
        <w:spacing w:before="0" w:after="0"/>
        <w:ind w:start="1440" w:end="0"/>
        <w:rPr/>
      </w:pPr>
      <w:r>
        <w:rPr/>
        <w:t>Jane W. Parver</w:t>
      </w:r>
    </w:p>
    <w:p>
      <w:pPr>
        <w:pStyle w:val="Signature"/>
        <w:spacing w:before="0" w:after="0"/>
        <w:ind w:start="1440" w:end="0"/>
        <w:rPr/>
      </w:pPr>
      <w:r>
        <w:rPr/>
        <w:t>Kaye, Scholer, Fierman, Hays &amp; Handler, L.L.P.</w:t>
      </w:r>
    </w:p>
    <w:p>
      <w:pPr>
        <w:pStyle w:val="Signature"/>
        <w:spacing w:before="0" w:after="0"/>
        <w:ind w:start="1440" w:end="0"/>
        <w:rPr/>
      </w:pPr>
      <w:r>
        <w:rPr/>
        <w:t>425 Park Avenue</w:t>
      </w:r>
    </w:p>
    <w:p>
      <w:pPr>
        <w:pStyle w:val="Signature"/>
        <w:spacing w:before="0" w:after="0"/>
        <w:ind w:start="1440" w:end="0"/>
        <w:rPr/>
      </w:pPr>
      <w:r>
        <w:rPr/>
        <w:t>New York, New York  10022</w:t>
      </w:r>
    </w:p>
    <w:p>
      <w:pPr>
        <w:pStyle w:val="Signature"/>
        <w:spacing w:before="0" w:after="0"/>
        <w:ind w:start="1440" w:end="0"/>
        <w:rPr>
          <w:i/>
          <w:i/>
        </w:rPr>
      </w:pPr>
      <w:r>
        <w:rPr>
          <w:i/>
        </w:rPr>
        <w:t>Co Counsel for the PCA Liquidating Trust</w:t>
      </w:r>
    </w:p>
    <w:p>
      <w:pPr>
        <w:pStyle w:val="Signature"/>
        <w:spacing w:before="0" w:after="0"/>
        <w:ind w:start="0" w:end="0"/>
        <w:rPr>
          <w:i/>
          <w:i/>
        </w:rPr>
      </w:pPr>
      <w:r>
        <w:rPr>
          <w:i/>
        </w:rPr>
      </w:r>
    </w:p>
    <w:p>
      <w:pPr>
        <w:pStyle w:val="Signature"/>
        <w:spacing w:before="0" w:after="0"/>
        <w:ind w:start="0" w:end="0"/>
        <w:rPr>
          <w:i/>
          <w:i/>
        </w:rPr>
      </w:pPr>
      <w:r>
        <w:rPr>
          <w:i/>
        </w:rPr>
      </w:r>
    </w:p>
    <w:p>
      <w:pPr>
        <w:pStyle w:val="Signature"/>
        <w:spacing w:before="0" w:after="0"/>
        <w:rPr>
          <w:i/>
          <w:i/>
        </w:rPr>
      </w:pPr>
      <w:r>
        <w:rPr>
          <w:i/>
        </w:rPr>
        <w:t>__________________________________________</w:t>
      </w:r>
    </w:p>
    <w:p>
      <w:pPr>
        <w:pStyle w:val="Signature"/>
        <w:spacing w:before="0" w:after="0"/>
        <w:rPr/>
      </w:pPr>
      <w:r>
        <w:rPr/>
        <w:t>Elizabeth J. Austin</w:t>
      </w:r>
    </w:p>
    <w:p>
      <w:pPr>
        <w:pStyle w:val="Normal"/>
        <w:rPr/>
      </w:pPr>
      <w:r>
        <w:rPr/>
      </w:r>
    </w:p>
    <w:p>
      <w:pPr>
        <w:pStyle w:val="BodyText"/>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432"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240" w:after="0"/>
      <w:jc w:val="start"/>
      <w:rPr>
        <w:rFonts w:ascii="Times New Roman Bold;Times New Roman" w:hAnsi="Times New Roman Bold;Times New Roman" w:cs="Times New Roman Bold;Times New Roman"/>
        <w:smallCaps/>
        <w:sz w:val="20"/>
      </w:rPr>
    </w:pPr>
    <w:r>
      <w:rPr>
        <w:rFonts w:cs="Times New Roman Bold;Times New Roman" w:ascii="Times New Roman Bold;Times New Roman" w:hAnsi="Times New Roman Bold;Times New Roman"/>
        <w:smallCaps/>
        <w:sz w:val="20"/>
      </w:rPr>
      <w:t>Enron Power Marketing, Inc.’s</w:t>
    </w:r>
    <w:r>
      <w:rPr>
        <w:rFonts w:cs="Times New Roman Bold;Times New Roman" w:ascii="Times New Roman Bold;Times New Roman" w:hAnsi="Times New Roman Bold;Times New Roman"/>
        <w:smallCaps/>
        <w:sz w:val="20"/>
        <w:u w:val="single"/>
      </w:rPr>
      <w:br/>
      <w:t>First Set Of Requests For Admissions</w:t>
    </w:r>
    <w:r>
      <w:rPr>
        <w:rFonts w:cs="Times New Roman Bold;Times New Roman" w:ascii="Times New Roman Bold;Times New Roman" w:hAnsi="Times New Roman Bold;Times New Roman"/>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8</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DOCUMENTS\HO1-220934-EPMI'S FIRST SET OF REQUESTS FOR ADMISSION.DOC</w:t>
    </w:r>
    <w:r>
      <w:rPr>
        <w:rStyle w:val="TrailerWGM"/>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240" w:after="0"/>
      <w:jc w:val="start"/>
      <w:rPr>
        <w:rFonts w:ascii="Times New Roman Bold;Times New Roman" w:hAnsi="Times New Roman Bold;Times New Roman" w:cs="Times New Roman Bold;Times New Roman"/>
        <w:smallCaps/>
        <w:sz w:val="20"/>
      </w:rPr>
    </w:pPr>
    <w:r>
      <w:rPr>
        <w:rFonts w:cs="Times New Roman Bold;Times New Roman" w:ascii="Times New Roman Bold;Times New Roman" w:hAnsi="Times New Roman Bold;Times New Roman"/>
        <w:smallCaps/>
        <w:sz w:val="20"/>
      </w:rPr>
      <w:t>Enron Power Marketing, Inc.’s</w:t>
    </w:r>
    <w:r>
      <w:rPr>
        <w:rFonts w:cs="Times New Roman Bold;Times New Roman" w:ascii="Times New Roman Bold;Times New Roman" w:hAnsi="Times New Roman Bold;Times New Roman"/>
        <w:smallCaps/>
        <w:sz w:val="20"/>
        <w:u w:val="single"/>
      </w:rPr>
      <w:br/>
      <w:t>First Set Of Requests For Admissions</w:t>
    </w:r>
    <w:r>
      <w:rPr>
        <w:rFonts w:cs="Times New Roman Bold;Times New Roman" w:ascii="Times New Roman Bold;Times New Roman" w:hAnsi="Times New Roman Bold;Times New Roman"/>
        <w:smallCaps/>
        <w:sz w:val="20"/>
      </w:rPr>
      <w:t xml:space="preserve"> – Page </w:t>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1</w:t>
    </w:r>
    <w:r>
      <w:rPr>
        <w:rStyle w:val="PageNumber"/>
        <w:sz w:val="20"/>
        <w:b/>
      </w:rPr>
      <w:fldChar w:fldCharType="end"/>
    </w:r>
  </w:p>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C:\MY DOCUMENTS\HO1-220934-EPMI'S FIRST SET OF REQUESTS FOR ADMISSION.DOC</w:t>
    </w:r>
    <w:r>
      <w:rPr>
        <w:rStyle w:val="TrailerWG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upperLetter"/>
      <w:lvlText w:val="%1."/>
      <w:lvlJc w:val="start"/>
      <w:pPr>
        <w:tabs>
          <w:tab w:val="num" w:pos="360"/>
        </w:tabs>
        <w:ind w:start="360" w:hanging="360"/>
      </w:pPr>
    </w:lvl>
  </w:abstractNum>
  <w:abstractNum w:abstractNumId="15">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bResetResponseNumbering" w:val="True"/>
    <w:docVar w:name="bWasHeadingSet" w:val="False"/>
    <w:docVar w:name="chkAlternate" w:val="True"/>
    <w:docVar w:name="chkAutoNumRog" w:val="True"/>
    <w:docVar w:name="chkBSAllCaps" w:val="False"/>
    <w:docVar w:name="chkBSBold" w:val="True"/>
    <w:docVar w:name="chkBSSmallCaps" w:val="False"/>
    <w:docVar w:name="chkBSUnderlined" w:val="True"/>
    <w:docVar w:name="iRogReset" w:val="2"/>
    <w:docVar w:name="lstInterrogatories" w:val="Request No."/>
    <w:docVar w:name="obtnBSRunIn" w:val="False"/>
    <w:docVar w:name="obtnBSSep" w:val="True"/>
    <w:docVar w:name="obtnCustomRog" w:val="False"/>
    <w:docVar w:name="obtnCustomRogResponse" w:val="False"/>
    <w:docVar w:name="Restarted" w:val="True"/>
    <w:docVar w:name="txtBSHIndent" w:val="0.0"/>
    <w:docVar w:name="txtBSIndent" w:val="1.0"/>
    <w:docVar w:name="txtNumberRog" w:val="19"/>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TrailerWGM">
    <w:name w:val="Trailer WGM"/>
    <w:basedOn w:val="DefaultParagraphFont"/>
    <w:qFormat/>
    <w:rPr>
      <w:caps/>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rFonts w:ascii="Times New Roman" w:hAnsi="Times New Roman" w:cs="Times New Roman"/>
      <w:color w:val="0000FF"/>
      <w:sz w:val="24"/>
      <w:u w:val="single"/>
    </w:rPr>
  </w:style>
  <w:style w:type="character" w:styleId="PageNumber">
    <w:name w:val="page number"/>
    <w:basedOn w:val="DefaultParagraphFon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keepNext w:val="true"/>
      <w:spacing w:before="0" w:after="240"/>
      <w:jc w:val="center"/>
      <w:outlineLvl w:val="0"/>
    </w:pPr>
    <w:rPr>
      <w:b/>
    </w:rPr>
  </w:style>
  <w:style w:type="paragraph" w:styleId="BodyText">
    <w:name w:val="Body Text"/>
    <w:basedOn w:val="Normal"/>
    <w:pPr>
      <w:spacing w:before="0" w:after="240"/>
      <w:ind w:firstLine="720" w:start="0" w:end="0"/>
      <w:jc w:val="both"/>
    </w:pPr>
    <w:rPr/>
  </w:style>
  <w:style w:type="paragraph" w:styleId="List">
    <w:name w:val="List"/>
    <w:basedOn w:val="Normal"/>
    <w:pPr>
      <w:numPr>
        <w:ilvl w:val="0"/>
        <w:numId w:val="12"/>
      </w:numPr>
      <w:tabs>
        <w:tab w:val="clear" w:pos="720"/>
      </w:tabs>
      <w:spacing w:before="0" w:after="240"/>
      <w:ind w:hanging="720" w:start="72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ind w:firstLine="1440" w:start="0" w:end="0"/>
      <w:jc w:val="both"/>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Normal"/>
    <w:qFormat/>
    <w:pPr>
      <w:spacing w:lineRule="auto" w:line="480"/>
      <w:ind w:firstLine="720" w:start="1440" w:end="0"/>
    </w:pPr>
    <w:rPr/>
  </w:style>
  <w:style w:type="paragraph" w:styleId="BodyTextFirstIndent">
    <w:name w:val="Body Text First Indent"/>
    <w:basedOn w:val="Normal"/>
    <w:qFormat/>
    <w:pPr>
      <w:spacing w:before="0" w:after="240"/>
      <w:ind w:firstLine="720" w:start="1440" w:end="0"/>
    </w:pPr>
    <w:rPr/>
  </w:style>
  <w:style w:type="paragraph" w:styleId="BodyTextIndent2">
    <w:name w:val="Body Text Indent 2"/>
    <w:basedOn w:val="Normal"/>
    <w:qFormat/>
    <w:pPr>
      <w:spacing w:lineRule="auto" w:line="480"/>
      <w:ind w:hanging="0" w:start="1440" w:end="0"/>
    </w:pPr>
    <w:rPr/>
  </w:style>
  <w:style w:type="paragraph" w:styleId="BodyTextIndent3">
    <w:name w:val="Body Text Indent 3"/>
    <w:basedOn w:val="Normal"/>
    <w:qFormat/>
    <w:pPr>
      <w:tabs>
        <w:tab w:val="clear" w:pos="720"/>
        <w:tab w:val="left" w:pos="4320" w:leader="none"/>
      </w:tabs>
      <w:spacing w:before="0" w:after="240"/>
      <w:ind w:hanging="4320" w:start="4320" w:end="0"/>
    </w:pPr>
    <w:rPr/>
  </w:style>
  <w:style w:type="paragraph" w:styleId="EndnoteText">
    <w:name w:val="endnote text"/>
    <w:basedOn w:val="Normal"/>
    <w:pPr>
      <w:spacing w:before="0" w:after="240"/>
    </w:pPr>
    <w:rPr>
      <w:sz w:val="24"/>
    </w:rPr>
  </w:style>
  <w:style w:type="paragraph" w:styleId="FootnoteText">
    <w:name w:val="footnote text"/>
    <w:basedOn w:val="Normal"/>
    <w:pPr>
      <w:spacing w:before="0" w:after="240"/>
    </w:pPr>
    <w:rPr>
      <w:sz w:val="24"/>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7"/>
      </w:numPr>
      <w:tabs>
        <w:tab w:val="clear" w:pos="720"/>
      </w:tabs>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4"/>
      </w:numPr>
      <w:tabs>
        <w:tab w:val="clear" w:pos="720"/>
      </w:tabs>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6"/>
      </w:numPr>
      <w:tabs>
        <w:tab w:val="clear" w:pos="720"/>
      </w:tabs>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3"/>
      </w:numPr>
      <w:tabs>
        <w:tab w:val="clear" w:pos="720"/>
      </w:tabs>
      <w:spacing w:before="0" w:after="240"/>
      <w:ind w:hanging="720" w:start="3600" w:end="0"/>
    </w:pPr>
    <w:rPr/>
  </w:style>
  <w:style w:type="paragraph" w:styleId="ListBullet31">
    <w:name w:val="List Bullet 31"/>
    <w:basedOn w:val="Normal"/>
    <w:qFormat/>
    <w:pPr>
      <w:numPr>
        <w:ilvl w:val="0"/>
        <w:numId w:val="8"/>
      </w:numPr>
      <w:tabs>
        <w:tab w:val="clear" w:pos="720"/>
      </w:tabs>
      <w:spacing w:before="0" w:after="240"/>
      <w:ind w:hanging="720" w:start="2160" w:end="0"/>
    </w:pPr>
    <w:rPr/>
  </w:style>
  <w:style w:type="paragraph" w:styleId="ListBullet41">
    <w:name w:val="List Bullet 41"/>
    <w:basedOn w:val="Normal"/>
    <w:qFormat/>
    <w:pPr>
      <w:numPr>
        <w:ilvl w:val="0"/>
        <w:numId w:val="7"/>
      </w:numPr>
      <w:tabs>
        <w:tab w:val="clear" w:pos="720"/>
      </w:tabs>
      <w:spacing w:before="0" w:after="240"/>
      <w:ind w:hanging="720" w:start="2880" w:end="0"/>
    </w:pPr>
    <w:rPr/>
  </w:style>
  <w:style w:type="paragraph" w:styleId="ListBullet51">
    <w:name w:val="List Bullet 51"/>
    <w:basedOn w:val="Normal"/>
    <w:qFormat/>
    <w:pPr>
      <w:numPr>
        <w:ilvl w:val="0"/>
        <w:numId w:val="6"/>
      </w:numPr>
      <w:tabs>
        <w:tab w:val="clear" w:pos="720"/>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5"/>
      </w:numPr>
      <w:tabs>
        <w:tab w:val="clear" w:pos="720"/>
      </w:tabs>
      <w:spacing w:before="0" w:after="240"/>
      <w:ind w:hanging="720" w:start="1440" w:end="0"/>
    </w:pPr>
    <w:rPr/>
  </w:style>
  <w:style w:type="paragraph" w:styleId="ListNumber3">
    <w:name w:val="List Number 3"/>
    <w:basedOn w:val="Normal"/>
    <w:qFormat/>
    <w:pPr>
      <w:numPr>
        <w:ilvl w:val="0"/>
        <w:numId w:val="4"/>
      </w:numPr>
      <w:tabs>
        <w:tab w:val="clear" w:pos="720"/>
      </w:tabs>
      <w:spacing w:before="0" w:after="240"/>
      <w:ind w:hanging="720" w:start="2160" w:end="0"/>
    </w:pPr>
    <w:rPr/>
  </w:style>
  <w:style w:type="paragraph" w:styleId="ListNumber4">
    <w:name w:val="List Number 4"/>
    <w:basedOn w:val="Normal"/>
    <w:qFormat/>
    <w:pPr>
      <w:numPr>
        <w:ilvl w:val="0"/>
        <w:numId w:val="3"/>
      </w:numPr>
      <w:tabs>
        <w:tab w:val="clear" w:pos="720"/>
      </w:tabs>
      <w:spacing w:before="0" w:after="240"/>
      <w:ind w:hanging="720" w:start="2880" w:end="0"/>
    </w:pPr>
    <w:rPr/>
  </w:style>
  <w:style w:type="paragraph" w:styleId="ListNumber5">
    <w:name w:val="List Number 5"/>
    <w:basedOn w:val="Normal"/>
    <w:qFormat/>
    <w:pPr>
      <w:numPr>
        <w:ilvl w:val="0"/>
        <w:numId w:val="2"/>
      </w:numPr>
      <w:tabs>
        <w:tab w:val="clear" w:pos="720"/>
      </w:tabs>
      <w:spacing w:before="0" w:after="240"/>
      <w:ind w:hanging="720" w:start="3600" w:end="0"/>
    </w:pPr>
    <w:rPr/>
  </w:style>
  <w:style w:type="paragraph" w:styleId="ListNumber">
    <w:name w:val="List Number"/>
    <w:basedOn w:val="Normal"/>
    <w:qFormat/>
    <w:pPr>
      <w:numPr>
        <w:ilvl w:val="0"/>
        <w:numId w:val="10"/>
      </w:numPr>
      <w:tabs>
        <w:tab w:val="clear" w:pos="720"/>
      </w:tabs>
      <w:spacing w:before="0" w:after="240"/>
      <w:ind w:hanging="720" w:start="720" w:end="0"/>
    </w:pPr>
    <w:rPr/>
  </w:style>
  <w:style w:type="paragraph" w:styleId="EnvelopeAddress">
    <w:name w:val="envelope address"/>
    <w:basedOn w:val="Normal"/>
    <w:pPr>
      <w:ind w:hanging="0" w:start="2880" w:end="0"/>
    </w:pPr>
    <w:rPr/>
  </w:style>
  <w:style w:type="paragraph" w:styleId="PlainText">
    <w:name w:val="Plain Text"/>
    <w:basedOn w:val="Normal"/>
    <w:qFormat/>
    <w:pPr>
      <w:spacing w:before="0" w:after="240"/>
    </w:pPr>
    <w:rPr>
      <w:sz w:val="24"/>
    </w:rPr>
  </w:style>
  <w:style w:type="paragraph" w:styleId="Signature">
    <w:name w:val="Signature"/>
    <w:basedOn w:val="Normal"/>
    <w:pPr>
      <w:spacing w:before="0" w:after="240"/>
      <w:ind w:hanging="0" w:start="4320" w:end="0"/>
    </w:pPr>
    <w:rPr>
      <w:sz w:val="24"/>
    </w:rPr>
  </w:style>
  <w:style w:type="paragraph" w:styleId="Subtitle">
    <w:name w:val="Subtitle"/>
    <w:basedOn w:val="Normal"/>
    <w:next w:val="BodyText"/>
    <w:qFormat/>
    <w:pPr>
      <w:keepNext w:val="true"/>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CA" w:eastAsia="zh-CN" w:bidi="hi-IN"/>
    </w:rPr>
  </w:style>
  <w:style w:type="paragraph" w:styleId="Memorandum">
    <w:name w:val="Memorandum"/>
    <w:basedOn w:val="Normal"/>
    <w:qFormat/>
    <w:pPr>
      <w:spacing w:before="0" w:after="720"/>
      <w:jc w:val="center"/>
    </w:pPr>
    <w:rPr>
      <w:rFonts w:ascii="EngraversGothic BT" w:hAnsi="EngraversGothic BT" w:cs="EngraversGothic BT"/>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EnvelopeReturn">
    <w:name w:val="envelope return"/>
    <w:basedOn w:val="Normal"/>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ListBullet21">
    <w:name w:val="List Bullet 21"/>
    <w:basedOn w:val="Normal"/>
    <w:qFormat/>
    <w:pPr>
      <w:numPr>
        <w:ilvl w:val="0"/>
        <w:numId w:val="9"/>
      </w:numPr>
      <w:spacing w:before="0" w:after="240"/>
      <w:ind w:hanging="720" w:start="1440" w:end="0"/>
    </w:pPr>
    <w:rPr/>
  </w:style>
  <w:style w:type="paragraph" w:styleId="DocumentMap">
    <w:name w:val="Document Map"/>
    <w:basedOn w:val="Normal"/>
    <w:qFormat/>
    <w:pPr>
      <w:shd w:fill="000080" w:val="clear"/>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DeliveryMethod">
    <w:name w:val="Delivery Method"/>
    <w:basedOn w:val="Normal"/>
    <w:next w:val="Normal"/>
    <w:qFormat/>
    <w:pPr>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Continue">
    <w:name w:val="Num Continue"/>
    <w:basedOn w:val="BodyText"/>
    <w:qFormat/>
    <w:pPr/>
    <w:rPr/>
  </w:style>
  <w:style w:type="paragraph" w:styleId="StandardL1">
    <w:name w:val="Standard_L1"/>
    <w:basedOn w:val="Normal"/>
    <w:next w:val="NumContinue"/>
    <w:qFormat/>
    <w:pPr>
      <w:numPr>
        <w:ilvl w:val="0"/>
        <w:numId w:val="15"/>
      </w:numPr>
      <w:tabs>
        <w:tab w:val="clear" w:pos="720"/>
        <w:tab w:val="left" w:pos="1440" w:leader="none"/>
      </w:tabs>
      <w:spacing w:before="0" w:after="240"/>
      <w:jc w:val="both"/>
      <w:outlineLvl w:val="0"/>
    </w:pPr>
    <w:rPr/>
  </w:style>
  <w:style w:type="paragraph" w:styleId="StandardL2">
    <w:name w:val="Standard_L2"/>
    <w:basedOn w:val="StandardL1"/>
    <w:next w:val="NumContinue"/>
    <w:qFormat/>
    <w:pPr>
      <w:numPr>
        <w:ilvl w:val="0"/>
        <w:numId w:val="15"/>
      </w:numPr>
      <w:outlineLvl w:val="1"/>
    </w:pPr>
    <w:rPr/>
  </w:style>
  <w:style w:type="paragraph" w:styleId="StandardL3">
    <w:name w:val="Standard_L3"/>
    <w:basedOn w:val="StandardL2"/>
    <w:next w:val="NumContinue"/>
    <w:qFormat/>
    <w:pPr>
      <w:numPr>
        <w:ilvl w:val="0"/>
        <w:numId w:val="15"/>
      </w:numPr>
      <w:tabs>
        <w:tab w:val="clear" w:pos="1440"/>
      </w:tabs>
      <w:outlineLvl w:val="2"/>
    </w:pPr>
    <w:rPr/>
  </w:style>
  <w:style w:type="paragraph" w:styleId="StandardL4">
    <w:name w:val="Standard_L4"/>
    <w:basedOn w:val="StandardL3"/>
    <w:next w:val="NumContinue"/>
    <w:qFormat/>
    <w:pPr>
      <w:numPr>
        <w:ilvl w:val="0"/>
        <w:numId w:val="15"/>
      </w:numPr>
      <w:tabs>
        <w:tab w:val="left" w:pos="2880" w:leader="none"/>
      </w:tabs>
      <w:outlineLvl w:val="3"/>
    </w:pPr>
    <w:rPr/>
  </w:style>
  <w:style w:type="paragraph" w:styleId="StandardL5">
    <w:name w:val="Standard_L5"/>
    <w:basedOn w:val="StandardL4"/>
    <w:next w:val="NumContinue"/>
    <w:qFormat/>
    <w:pPr>
      <w:numPr>
        <w:ilvl w:val="0"/>
        <w:numId w:val="15"/>
      </w:numPr>
      <w:tabs>
        <w:tab w:val="clear" w:pos="2880"/>
        <w:tab w:val="left" w:pos="3600" w:leader="none"/>
      </w:tabs>
      <w:outlineLvl w:val="4"/>
    </w:pPr>
    <w:rPr/>
  </w:style>
  <w:style w:type="paragraph" w:styleId="StandardL6">
    <w:name w:val="Standard_L6"/>
    <w:basedOn w:val="StandardL5"/>
    <w:next w:val="NumContinue"/>
    <w:qFormat/>
    <w:pPr>
      <w:numPr>
        <w:ilvl w:val="0"/>
        <w:numId w:val="15"/>
      </w:numPr>
      <w:tabs>
        <w:tab w:val="clear" w:pos="3600"/>
      </w:tabs>
      <w:outlineLvl w:val="5"/>
    </w:pPr>
    <w:rPr/>
  </w:style>
  <w:style w:type="paragraph" w:styleId="StandardL7">
    <w:name w:val="Standard_L7"/>
    <w:basedOn w:val="StandardL6"/>
    <w:next w:val="NumContinue"/>
    <w:qFormat/>
    <w:pPr>
      <w:numPr>
        <w:ilvl w:val="0"/>
        <w:numId w:val="15"/>
      </w:numPr>
      <w:tabs>
        <w:tab w:val="left" w:pos="5040" w:leader="none"/>
      </w:tabs>
      <w:outlineLvl w:val="6"/>
    </w:pPr>
    <w:rPr/>
  </w:style>
  <w:style w:type="paragraph" w:styleId="StandardL8">
    <w:name w:val="Standard_L8"/>
    <w:basedOn w:val="StandardL7"/>
    <w:next w:val="NumContinue"/>
    <w:qFormat/>
    <w:pPr>
      <w:numPr>
        <w:ilvl w:val="0"/>
        <w:numId w:val="15"/>
      </w:numPr>
      <w:tabs>
        <w:tab w:val="clear" w:pos="5040"/>
        <w:tab w:val="left" w:pos="5760" w:leader="none"/>
      </w:tabs>
      <w:outlineLvl w:val="7"/>
    </w:pPr>
    <w:rPr/>
  </w:style>
  <w:style w:type="paragraph" w:styleId="StandardL9">
    <w:name w:val="Standard_L9"/>
    <w:basedOn w:val="StandardL8"/>
    <w:next w:val="NumContinue"/>
    <w:qFormat/>
    <w:pPr>
      <w:numPr>
        <w:ilvl w:val="0"/>
        <w:numId w:val="15"/>
      </w:numPr>
      <w:tabs>
        <w:tab w:val="clear" w:pos="5760"/>
      </w:tabs>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2001-01-04T18:34:00Z</dcterms:created>
  <dc:creator>MIS</dc:creator>
  <dc:description/>
  <cp:keywords>DocsOpen Name: #220934 v1 - EPMI'S FIRST SET OF REQUESTS FOR ADMISSION</cp:keywords>
  <dc:language>en-CA</dc:language>
  <cp:lastModifiedBy>MIS</cp:lastModifiedBy>
  <cp:lastPrinted>2001-01-11T10:02:00Z</cp:lastPrinted>
  <dcterms:modified xsi:type="dcterms:W3CDTF">2001-01-22T23:44:00Z</dcterms:modified>
  <cp:revision>41</cp:revision>
  <dc:subject>DocsOpen Loc:G:\DATA\HO1\GRAY\PLD\4QH201!.DOC</dc:subject>
  <dc:title>Local: C:\MY DOCUMENTS\HO1-220934-EPMI'S FIRST SET OF REQUESTS FOR ADMISSION.DOC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C:\MY DOCUMENTS\HO1-220934-EPMI'S FIRST SET OF REQUESTS FOR ADMISSION.DOC</vt:lpwstr>
  </property>
</Properties>
</file>