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
        <w:jc w:val="center"/>
        <w:rPr>
          <w:b/>
          <w:bCs/>
        </w:rPr>
      </w:pPr>
      <w:r>
        <w:rPr>
          <w:b/>
          <w:bCs/>
        </w:rPr>
        <w:t>GARY HICKERSON MEETING WITH CFTC CHAIRMAN NEWSOME:</w:t>
      </w:r>
    </w:p>
    <w:p>
      <w:pPr>
        <w:pStyle w:val="Body"/>
        <w:jc w:val="center"/>
        <w:rPr>
          <w:u w:val="single"/>
        </w:rPr>
      </w:pPr>
      <w:r>
        <w:rPr>
          <w:b/>
          <w:bCs/>
        </w:rPr>
        <w:t>DISCUSSION POINTS</w:t>
      </w:r>
    </w:p>
    <w:p>
      <w:pPr>
        <w:pStyle w:val="Body"/>
        <w:rPr>
          <w:u w:val="single"/>
        </w:rPr>
      </w:pPr>
      <w:r>
        <w:rPr>
          <w:u w:val="single"/>
        </w:rPr>
      </w:r>
    </w:p>
    <w:p>
      <w:pPr>
        <w:pStyle w:val="Body"/>
        <w:rPr>
          <w:u w:val="single"/>
        </w:rPr>
      </w:pPr>
      <w:r>
        <w:rPr>
          <w:u w:val="single"/>
        </w:rPr>
      </w:r>
    </w:p>
    <w:p>
      <w:pPr>
        <w:pStyle w:val="Body"/>
        <w:rPr>
          <w:u w:val="single"/>
        </w:rPr>
      </w:pPr>
      <w:r>
        <w:rPr>
          <w:u w:val="single"/>
        </w:rPr>
        <w:t>Background/ Discussion of Enron</w:t>
      </w:r>
    </w:p>
    <w:p>
      <w:pPr>
        <w:pStyle w:val="Body"/>
        <w:rPr>
          <w:u w:val="single"/>
        </w:rPr>
      </w:pPr>
      <w:r>
        <w:rPr>
          <w:u w:val="single"/>
        </w:rPr>
      </w:r>
    </w:p>
    <w:p>
      <w:pPr>
        <w:pStyle w:val="Body"/>
        <w:numPr>
          <w:ilvl w:val="0"/>
          <w:numId w:val="1"/>
        </w:numPr>
        <w:tabs>
          <w:tab w:val="clear" w:pos="720"/>
          <w:tab w:val="left" w:pos="432" w:leader="none"/>
        </w:tabs>
        <w:ind w:hanging="360" w:start="432" w:end="0"/>
        <w:rPr/>
      </w:pPr>
      <w:r>
        <w:rPr/>
        <w:t>Enron is a global energy and communications company that has built its reputation as an intermediator of risk.</w:t>
      </w:r>
    </w:p>
    <w:p>
      <w:pPr>
        <w:pStyle w:val="Body"/>
        <w:numPr>
          <w:ilvl w:val="0"/>
          <w:numId w:val="1"/>
        </w:numPr>
        <w:tabs>
          <w:tab w:val="clear" w:pos="720"/>
          <w:tab w:val="left" w:pos="432" w:leader="none"/>
        </w:tabs>
        <w:ind w:hanging="360" w:start="432" w:end="0"/>
        <w:rPr/>
      </w:pPr>
      <w:r>
        <w:rPr/>
        <w:t>Enron currently offers a wide range of risk management products that are offered on a customized basis as well as through its B2B platform, EnronOnline.</w:t>
      </w:r>
    </w:p>
    <w:p>
      <w:pPr>
        <w:pStyle w:val="Body"/>
        <w:numPr>
          <w:ilvl w:val="0"/>
          <w:numId w:val="1"/>
        </w:numPr>
        <w:tabs>
          <w:tab w:val="clear" w:pos="720"/>
          <w:tab w:val="left" w:pos="432" w:leader="none"/>
        </w:tabs>
        <w:ind w:hanging="360" w:start="432" w:end="0"/>
        <w:rPr/>
      </w:pPr>
      <w:r>
        <w:rPr/>
        <w:t>Enron has transformed the market place in the energy industry by offering risk management tools that were responsive to the industry needs and by facilitating price competition.</w:t>
      </w:r>
    </w:p>
    <w:p>
      <w:pPr>
        <w:pStyle w:val="Body"/>
        <w:rPr/>
      </w:pPr>
      <w:r>
        <w:rPr/>
      </w:r>
    </w:p>
    <w:p>
      <w:pPr>
        <w:pStyle w:val="Body"/>
        <w:rPr>
          <w:u w:val="single"/>
        </w:rPr>
      </w:pPr>
      <w:r>
        <w:rPr>
          <w:u w:val="single"/>
        </w:rPr>
        <w:t>Enron’s Potential Entry in the Agricultural Business</w:t>
      </w:r>
    </w:p>
    <w:p>
      <w:pPr>
        <w:pStyle w:val="Body"/>
        <w:ind w:start="360" w:end="0"/>
        <w:rPr>
          <w:u w:val="single"/>
        </w:rPr>
      </w:pPr>
      <w:r>
        <w:rPr>
          <w:u w:val="single"/>
        </w:rPr>
      </w:r>
    </w:p>
    <w:p>
      <w:pPr>
        <w:pStyle w:val="Body"/>
        <w:numPr>
          <w:ilvl w:val="0"/>
          <w:numId w:val="1"/>
        </w:numPr>
        <w:tabs>
          <w:tab w:val="clear" w:pos="720"/>
          <w:tab w:val="left" w:pos="432" w:leader="none"/>
        </w:tabs>
        <w:ind w:hanging="360" w:start="432" w:end="0"/>
        <w:rPr/>
      </w:pPr>
      <w:r>
        <w:rPr/>
        <w:t>Business development efforts were initiated in the summer of 2000 to evaluate the feasibility of adding value and managing risk in the agricultural sector.</w:t>
      </w:r>
    </w:p>
    <w:p>
      <w:pPr>
        <w:pStyle w:val="Body"/>
        <w:numPr>
          <w:ilvl w:val="0"/>
          <w:numId w:val="1"/>
        </w:numPr>
        <w:tabs>
          <w:tab w:val="clear" w:pos="720"/>
          <w:tab w:val="left" w:pos="432" w:leader="none"/>
        </w:tabs>
        <w:ind w:hanging="360" w:start="432" w:end="0"/>
        <w:rPr/>
      </w:pPr>
      <w:r>
        <w:rPr/>
        <w:t xml:space="preserve">Agricultural business efforts evolved as an extension of Enron’s core competency in risk management. </w:t>
      </w:r>
    </w:p>
    <w:p>
      <w:pPr>
        <w:pStyle w:val="Body"/>
        <w:numPr>
          <w:ilvl w:val="0"/>
          <w:numId w:val="2"/>
        </w:numPr>
        <w:tabs>
          <w:tab w:val="clear" w:pos="720"/>
          <w:tab w:val="left" w:pos="432" w:leader="none"/>
        </w:tabs>
        <w:ind w:hanging="360" w:start="432" w:end="0"/>
        <w:rPr/>
      </w:pPr>
      <w:r>
        <w:rPr/>
        <w:t xml:space="preserve">Current efforts consist of developing financial models and of introductory meetings with agricultural producers and food companies to assess their risk management needs.  </w:t>
      </w:r>
    </w:p>
    <w:p>
      <w:pPr>
        <w:pStyle w:val="Body"/>
        <w:numPr>
          <w:ilvl w:val="0"/>
          <w:numId w:val="2"/>
        </w:numPr>
        <w:tabs>
          <w:tab w:val="clear" w:pos="720"/>
          <w:tab w:val="left" w:pos="432" w:leader="none"/>
        </w:tabs>
        <w:ind w:hanging="360" w:start="432" w:end="0"/>
        <w:rPr/>
      </w:pPr>
      <w:r>
        <w:rPr/>
        <w:t>Business development efforts are still in exploratory stages and the opportunities are being continuously evaluated.</w:t>
      </w:r>
    </w:p>
    <w:p>
      <w:pPr>
        <w:pStyle w:val="Body"/>
        <w:numPr>
          <w:ilvl w:val="0"/>
          <w:numId w:val="2"/>
        </w:numPr>
        <w:tabs>
          <w:tab w:val="clear" w:pos="720"/>
          <w:tab w:val="left" w:pos="432" w:leader="none"/>
        </w:tabs>
        <w:ind w:hanging="360" w:start="432" w:end="0"/>
        <w:rPr/>
      </w:pPr>
      <w:r>
        <w:rPr/>
        <w:t>Enron believes that by offering better risk management tools to agricultural market participants, all industry members will be able to improve their business operations and more effectively plan for the future.</w:t>
      </w:r>
    </w:p>
    <w:p>
      <w:pPr>
        <w:pStyle w:val="Body"/>
        <w:rPr/>
      </w:pPr>
      <w:r>
        <w:rPr/>
      </w:r>
    </w:p>
    <w:p>
      <w:pPr>
        <w:pStyle w:val="Body"/>
        <w:rPr>
          <w:u w:val="single"/>
        </w:rPr>
      </w:pPr>
      <w:r>
        <w:rPr>
          <w:u w:val="single"/>
        </w:rPr>
        <w:t>CFTC Regulation of Agricultural Commodities:</w:t>
      </w:r>
    </w:p>
    <w:p>
      <w:pPr>
        <w:pStyle w:val="Body"/>
        <w:rPr>
          <w:u w:val="single"/>
        </w:rPr>
      </w:pPr>
      <w:r>
        <w:rPr>
          <w:u w:val="single"/>
        </w:rPr>
      </w:r>
    </w:p>
    <w:p>
      <w:pPr>
        <w:pStyle w:val="Body"/>
        <w:numPr>
          <w:ilvl w:val="0"/>
          <w:numId w:val="3"/>
        </w:numPr>
        <w:tabs>
          <w:tab w:val="clear" w:pos="720"/>
          <w:tab w:val="left" w:pos="432" w:leader="none"/>
        </w:tabs>
        <w:ind w:hanging="360" w:start="432" w:end="0"/>
        <w:rPr/>
      </w:pPr>
      <w:r>
        <w:rPr/>
        <w:t>The New Act deregulates transactions in non-ag commodities.</w:t>
      </w:r>
    </w:p>
    <w:p>
      <w:pPr>
        <w:pStyle w:val="Body"/>
        <w:numPr>
          <w:ilvl w:val="0"/>
          <w:numId w:val="3"/>
        </w:numPr>
        <w:tabs>
          <w:tab w:val="clear" w:pos="720"/>
          <w:tab w:val="left" w:pos="432" w:leader="none"/>
        </w:tabs>
        <w:ind w:hanging="360" w:start="432" w:end="0"/>
        <w:rPr/>
      </w:pPr>
      <w:r>
        <w:rPr/>
        <w:t>We recognize the high level of regulatory concern with respect to agricultural commodities.</w:t>
      </w:r>
    </w:p>
    <w:p>
      <w:pPr>
        <w:pStyle w:val="Body"/>
        <w:numPr>
          <w:ilvl w:val="0"/>
          <w:numId w:val="3"/>
        </w:numPr>
        <w:tabs>
          <w:tab w:val="clear" w:pos="720"/>
          <w:tab w:val="left" w:pos="432" w:leader="none"/>
        </w:tabs>
        <w:ind w:hanging="360" w:start="432" w:end="0"/>
        <w:rPr/>
      </w:pPr>
      <w:r>
        <w:rPr/>
        <w:t>However, lighter-handed regulation of these commodities would facilitate the development of more innovative risk management products.</w:t>
      </w:r>
    </w:p>
    <w:p>
      <w:pPr>
        <w:pStyle w:val="Body"/>
        <w:numPr>
          <w:ilvl w:val="0"/>
          <w:numId w:val="3"/>
        </w:numPr>
        <w:tabs>
          <w:tab w:val="clear" w:pos="720"/>
          <w:tab w:val="left" w:pos="432" w:leader="none"/>
        </w:tabs>
        <w:ind w:hanging="360" w:start="432" w:end="0"/>
        <w:rPr/>
      </w:pPr>
      <w:r>
        <w:rPr/>
        <w:t>We look forward to working with the CFTC to develop rules for ag commodities which encourage pro-competitive risk management products.</w:t>
      </w:r>
    </w:p>
    <w:p>
      <w:pPr>
        <w:pStyle w:val="Body"/>
        <w:rPr>
          <w:u w:val="single"/>
        </w:rPr>
      </w:pPr>
      <w:r>
        <w:rPr>
          <w:u w:val="single"/>
        </w:rPr>
      </w:r>
    </w:p>
    <w:p>
      <w:pPr>
        <w:pStyle w:val="Normal"/>
        <w:rPr>
          <w:u w:val="single"/>
        </w:rPr>
      </w:pPr>
      <w:r>
        <w:rPr>
          <w:u w:val="single"/>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
    <w:name w:val="Body"/>
    <w:basedOn w:val="Normal"/>
    <w:qFormat/>
    <w:pPr>
      <w:overflowPunct w:val="false"/>
      <w:autoSpaceDE w:val="false"/>
      <w:ind w:hanging="0" w:start="72" w:end="0"/>
      <w:textAlignment w:val="baseline"/>
    </w:pPr>
    <w:rPr>
      <w:rFonts w:ascii="Arial" w:hAnsi="Arial" w:cs="Arial"/>
      <w:color w:val="000080"/>
      <w:sz w:val="20"/>
      <w:szCs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2001-03-05T22:36:00Z</dcterms:created>
  <dc:creator>lisa yoho</dc:creator>
  <dc:description/>
  <dc:language>en-CA</dc:language>
  <cp:lastModifiedBy>lisa yoho</cp:lastModifiedBy>
  <cp:lastPrinted>2001-03-05T18:15:00Z</cp:lastPrinted>
  <dcterms:modified xsi:type="dcterms:W3CDTF">2001-03-05T22:36:00Z</dcterms:modified>
  <cp:revision>2</cp:revision>
  <dc:subject/>
  <dc:title>GARY HICKERSON MEETING WITH CFTC CHAIRMAN NEWSOME:</dc:title>
</cp:coreProperties>
</file>