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ahoma" w:hAnsi="Tahoma" w:cs="Tahoma"/>
          <w:sz w:val="22"/>
        </w:rPr>
      </w:pPr>
      <w:r>
        <w:rPr>
          <w:rFonts w:cs="Tahoma" w:ascii="Tahoma" w:hAnsi="Tahoma"/>
          <w:sz w:val="22"/>
        </w:rPr>
        <w:t>Special Provisions for</w:t>
      </w:r>
    </w:p>
    <w:p>
      <w:pPr>
        <w:pStyle w:val="Normal"/>
        <w:jc w:val="center"/>
        <w:rPr>
          <w:rFonts w:ascii="Tahoma" w:hAnsi="Tahoma" w:cs="Tahoma"/>
          <w:b/>
          <w:sz w:val="22"/>
        </w:rPr>
      </w:pPr>
      <w:r>
        <w:rPr>
          <w:rFonts w:cs="Tahoma" w:ascii="Tahoma" w:hAnsi="Tahoma"/>
          <w:b/>
          <w:sz w:val="22"/>
        </w:rPr>
        <w:t>Base Contract for Short Term</w:t>
      </w:r>
    </w:p>
    <w:p>
      <w:pPr>
        <w:pStyle w:val="Normal"/>
        <w:jc w:val="center"/>
        <w:rPr>
          <w:rFonts w:ascii="Tahoma" w:hAnsi="Tahoma" w:cs="Tahoma"/>
          <w:b/>
          <w:sz w:val="22"/>
        </w:rPr>
      </w:pPr>
      <w:r>
        <w:rPr>
          <w:rFonts w:cs="Tahoma" w:ascii="Tahoma" w:hAnsi="Tahoma"/>
          <w:b/>
          <w:sz w:val="22"/>
        </w:rPr>
        <w:t>Sale and Purchase of Natural Gas</w:t>
      </w:r>
    </w:p>
    <w:p>
      <w:pPr>
        <w:pStyle w:val="Normal"/>
        <w:jc w:val="center"/>
        <w:rPr>
          <w:rFonts w:ascii="Tahoma" w:hAnsi="Tahoma" w:cs="Tahoma"/>
          <w:b/>
          <w:sz w:val="22"/>
        </w:rPr>
      </w:pPr>
      <w:r>
        <w:rPr>
          <w:rFonts w:cs="Tahoma" w:ascii="Tahoma" w:hAnsi="Tahoma"/>
          <w:b/>
          <w:sz w:val="22"/>
        </w:rPr>
        <w:t>Between ___________________________</w:t>
      </w:r>
    </w:p>
    <w:p>
      <w:pPr>
        <w:pStyle w:val="Normal"/>
        <w:jc w:val="center"/>
        <w:rPr>
          <w:rFonts w:ascii="Tahoma" w:hAnsi="Tahoma" w:cs="Tahoma"/>
          <w:b/>
          <w:sz w:val="22"/>
        </w:rPr>
      </w:pPr>
      <w:r>
        <w:rPr>
          <w:rFonts w:cs="Tahoma" w:ascii="Tahoma" w:hAnsi="Tahoma"/>
          <w:b/>
          <w:sz w:val="22"/>
        </w:rPr>
        <w:t>and</w:t>
      </w:r>
    </w:p>
    <w:p>
      <w:pPr>
        <w:pStyle w:val="Normal"/>
        <w:jc w:val="center"/>
        <w:rPr>
          <w:rFonts w:ascii="Tahoma" w:hAnsi="Tahoma" w:cs="Tahoma"/>
          <w:b/>
          <w:sz w:val="22"/>
        </w:rPr>
      </w:pPr>
      <w:r>
        <w:rPr>
          <w:rFonts w:eastAsia="Tahoma" w:cs="Tahoma" w:ascii="Tahoma" w:hAnsi="Tahoma"/>
          <w:b/>
          <w:sz w:val="22"/>
        </w:rPr>
        <w:t xml:space="preserve"> </w:t>
      </w:r>
      <w:r>
        <w:rPr>
          <w:rFonts w:cs="Tahoma" w:ascii="Tahoma" w:hAnsi="Tahoma"/>
          <w:b/>
          <w:sz w:val="22"/>
        </w:rPr>
        <w:t>Hess Energy Services Company, LLC</w:t>
      </w:r>
    </w:p>
    <w:p>
      <w:pPr>
        <w:pStyle w:val="Normal"/>
        <w:jc w:val="center"/>
        <w:rPr>
          <w:rFonts w:ascii="Tahoma" w:hAnsi="Tahoma" w:cs="Tahoma"/>
          <w:b/>
          <w:sz w:val="22"/>
        </w:rPr>
      </w:pPr>
      <w:r>
        <w:rPr>
          <w:rFonts w:cs="Tahoma" w:ascii="Tahoma" w:hAnsi="Tahoma"/>
          <w:b/>
          <w:sz w:val="22"/>
        </w:rPr>
        <w:t>Dated _________________</w:t>
      </w:r>
    </w:p>
    <w:p>
      <w:pPr>
        <w:pStyle w:val="Normal"/>
        <w:jc w:val="both"/>
        <w:rPr>
          <w:rFonts w:ascii="Tahoma" w:hAnsi="Tahoma" w:cs="Tahoma"/>
          <w:b/>
          <w:sz w:val="22"/>
        </w:rPr>
      </w:pPr>
      <w:r>
        <w:rPr>
          <w:rFonts w:cs="Tahoma" w:ascii="Tahoma" w:hAnsi="Tahoma"/>
          <w:b/>
          <w:sz w:val="22"/>
        </w:rPr>
      </w:r>
    </w:p>
    <w:p>
      <w:pPr>
        <w:pStyle w:val="Normal"/>
        <w:jc w:val="both"/>
        <w:rPr>
          <w:sz w:val="22"/>
        </w:rPr>
      </w:pPr>
      <w:r>
        <w:rPr>
          <w:sz w:val="22"/>
        </w:rPr>
      </w:r>
    </w:p>
    <w:p>
      <w:pPr>
        <w:pStyle w:val="Normal"/>
        <w:numPr>
          <w:ilvl w:val="0"/>
          <w:numId w:val="1"/>
        </w:numPr>
        <w:ind w:hanging="720" w:start="720" w:end="0"/>
        <w:jc w:val="both"/>
        <w:rPr>
          <w:sz w:val="22"/>
        </w:rPr>
      </w:pPr>
      <w:r>
        <w:rPr>
          <w:sz w:val="22"/>
        </w:rPr>
        <w:t>The parties hereto agree that this Base Contract may be used for Interruptible, Firm and Exchange for Physical (“EFP”) transactions with Delivery Periods of up to one (1) year.</w:t>
      </w:r>
    </w:p>
    <w:p>
      <w:pPr>
        <w:pStyle w:val="Normal"/>
        <w:ind w:hanging="720" w:start="720" w:end="0"/>
        <w:jc w:val="both"/>
        <w:rPr>
          <w:sz w:val="22"/>
        </w:rPr>
      </w:pPr>
      <w:r>
        <w:rPr>
          <w:sz w:val="22"/>
        </w:rPr>
      </w:r>
    </w:p>
    <w:p>
      <w:pPr>
        <w:pStyle w:val="Normal"/>
        <w:jc w:val="both"/>
        <w:rPr>
          <w:sz w:val="22"/>
        </w:rPr>
      </w:pPr>
      <w:r>
        <w:rPr>
          <w:sz w:val="22"/>
        </w:rPr>
        <w:t>2)</w:t>
        <w:tab/>
        <w:t>THE FOLLOWING SENTENCE IS ADDED TO THE END OF SECTION 1.1:</w:t>
      </w:r>
    </w:p>
    <w:p>
      <w:pPr>
        <w:pStyle w:val="Normal"/>
        <w:jc w:val="both"/>
        <w:rPr>
          <w:sz w:val="22"/>
        </w:rPr>
      </w:pPr>
      <w:r>
        <w:rPr>
          <w:sz w:val="22"/>
        </w:rPr>
      </w:r>
    </w:p>
    <w:p>
      <w:pPr>
        <w:pStyle w:val="Normal"/>
        <w:ind w:hanging="720" w:start="720" w:end="0"/>
        <w:jc w:val="both"/>
        <w:rPr>
          <w:sz w:val="22"/>
        </w:rPr>
      </w:pPr>
      <w:r>
        <w:rPr>
          <w:sz w:val="22"/>
        </w:rPr>
        <w:tab/>
        <w:t>Each of the parties consent to the recording of all telephone conversations between its employees and employees of the other party.  Any resulting recordings and any other evidence may be introduced to prove any verbal agreement between the parties.</w:t>
      </w:r>
    </w:p>
    <w:p>
      <w:pPr>
        <w:pStyle w:val="Normal"/>
        <w:jc w:val="both"/>
        <w:rPr>
          <w:sz w:val="22"/>
        </w:rPr>
      </w:pPr>
      <w:r>
        <w:rPr>
          <w:sz w:val="22"/>
        </w:rPr>
      </w:r>
    </w:p>
    <w:p>
      <w:pPr>
        <w:pStyle w:val="Normal"/>
        <w:jc w:val="both"/>
        <w:rPr>
          <w:sz w:val="22"/>
        </w:rPr>
      </w:pPr>
      <w:r>
        <w:rPr>
          <w:sz w:val="22"/>
        </w:rPr>
        <w:t>3)</w:t>
        <w:tab/>
        <w:t>THE FOLLOWING PARAGRAPH IS ADDED TO THE END OF SECTION 7.1:</w:t>
      </w:r>
    </w:p>
    <w:p>
      <w:pPr>
        <w:pStyle w:val="Normal"/>
        <w:jc w:val="both"/>
        <w:rPr>
          <w:sz w:val="22"/>
        </w:rPr>
      </w:pPr>
      <w:r>
        <w:rPr>
          <w:sz w:val="22"/>
        </w:rPr>
      </w:r>
    </w:p>
    <w:p>
      <w:pPr>
        <w:pStyle w:val="Normal"/>
        <w:ind w:start="720" w:end="0"/>
        <w:jc w:val="both"/>
        <w:rPr/>
      </w:pPr>
      <w:r>
        <w:rPr>
          <w:sz w:val="22"/>
          <w:u w:val="single"/>
        </w:rPr>
        <w:t>Netting</w:t>
      </w:r>
      <w:r>
        <w:rPr>
          <w:sz w:val="22"/>
        </w:rPr>
        <w:t>:  If the Buyer and Seller are each required to pay an amount in the same month, then such amounts with respect to each party may be aggregated and the parties may discharge their obligations to pay through netting, in which case the party owing the greater aggregate amount may pay to the other party the difference between the amounts owed.  Each party reserves to itself all rights, set-offs, counterclaims and other remedies and/or defenses to which it is or may be entitled, arising from or out of this Agreement.  All outstanding Transactions and the obligations to make payment in connection therewith or under this Agreement may be offset against each other or set off or recouped therefrom.</w:t>
      </w:r>
    </w:p>
    <w:p>
      <w:pPr>
        <w:pStyle w:val="Normal"/>
        <w:jc w:val="both"/>
        <w:rPr>
          <w:sz w:val="22"/>
        </w:rPr>
      </w:pPr>
      <w:r>
        <w:rPr>
          <w:sz w:val="22"/>
        </w:rPr>
      </w:r>
    </w:p>
    <w:p>
      <w:pPr>
        <w:pStyle w:val="Normal"/>
        <w:ind w:hanging="720" w:start="720" w:end="0"/>
        <w:jc w:val="both"/>
        <w:rPr>
          <w:sz w:val="22"/>
        </w:rPr>
      </w:pPr>
      <w:r>
        <w:rPr>
          <w:sz w:val="22"/>
        </w:rPr>
        <w:t>4)</w:t>
        <w:tab/>
        <w:t>IN SECTION 10.1 THE FOLLOWING SENTENCE IS INSERTED AFTER THE FIRST</w:t>
      </w:r>
    </w:p>
    <w:p>
      <w:pPr>
        <w:pStyle w:val="Normal"/>
        <w:ind w:start="720" w:end="0"/>
        <w:jc w:val="both"/>
        <w:rPr>
          <w:sz w:val="22"/>
        </w:rPr>
      </w:pPr>
      <w:r>
        <w:rPr>
          <w:sz w:val="22"/>
        </w:rPr>
        <w:t>SENTENCE:</w:t>
      </w:r>
    </w:p>
    <w:p>
      <w:pPr>
        <w:pStyle w:val="Normal"/>
        <w:jc w:val="both"/>
        <w:rPr>
          <w:sz w:val="22"/>
        </w:rPr>
      </w:pPr>
      <w:r>
        <w:rPr>
          <w:sz w:val="22"/>
        </w:rPr>
      </w:r>
    </w:p>
    <w:p>
      <w:pPr>
        <w:pStyle w:val="Normal"/>
        <w:ind w:start="720" w:end="0"/>
        <w:jc w:val="both"/>
        <w:rPr>
          <w:sz w:val="22"/>
        </w:rPr>
      </w:pPr>
      <w:r>
        <w:rPr>
          <w:sz w:val="22"/>
        </w:rPr>
        <w:t>The party requesting adequate assurance may suspend performance hereunder if such assurance is not received within two (2) business days after the request for same.</w:t>
      </w:r>
    </w:p>
    <w:p>
      <w:pPr>
        <w:pStyle w:val="Normal"/>
        <w:jc w:val="both"/>
        <w:rPr>
          <w:sz w:val="22"/>
        </w:rPr>
      </w:pPr>
      <w:r>
        <w:rPr>
          <w:sz w:val="22"/>
        </w:rPr>
      </w:r>
    </w:p>
    <w:p>
      <w:pPr>
        <w:pStyle w:val="Normal"/>
        <w:jc w:val="both"/>
        <w:rPr>
          <w:sz w:val="22"/>
        </w:rPr>
      </w:pPr>
      <w:r>
        <w:rPr>
          <w:sz w:val="22"/>
        </w:rPr>
        <w:t>5)</w:t>
        <w:tab/>
        <w:t>THE FOLLOWING NEW SECTION 10.3 IS ADDED:</w:t>
      </w:r>
    </w:p>
    <w:p>
      <w:pPr>
        <w:pStyle w:val="Normal"/>
        <w:jc w:val="both"/>
        <w:rPr>
          <w:sz w:val="22"/>
        </w:rPr>
      </w:pPr>
      <w:r>
        <w:rPr>
          <w:sz w:val="22"/>
        </w:rPr>
      </w:r>
    </w:p>
    <w:p>
      <w:pPr>
        <w:pStyle w:val="Normal"/>
        <w:ind w:start="720" w:end="0"/>
        <w:jc w:val="both"/>
        <w:rPr>
          <w:sz w:val="22"/>
        </w:rPr>
      </w:pPr>
      <w:r>
        <w:rPr>
          <w:sz w:val="22"/>
        </w:rPr>
        <w:t>10.3</w:t>
        <w:tab/>
        <w:t>In the event that the non-defaulting party terminates the Contract under Section 10.1, the non-defaulting party shall have the right within twenty (20) days of any event of default set out in Section 10.1 to designate in writing an early termination date (“Early Termination Date”) as any date on or after the event of default under Section 10.1.  Upon the Early Termination Date, the non-defaulting party shall have the right to liquidate any and all transactions selected by it under the Contract (including any portion of a transaction not yet fully delivered) then outstanding by:</w:t>
      </w:r>
    </w:p>
    <w:p>
      <w:pPr>
        <w:pStyle w:val="Normal"/>
        <w:jc w:val="both"/>
        <w:rPr>
          <w:sz w:val="22"/>
        </w:rPr>
      </w:pPr>
      <w:r>
        <w:rPr>
          <w:sz w:val="22"/>
        </w:rPr>
      </w:r>
    </w:p>
    <w:p>
      <w:pPr>
        <w:pStyle w:val="Normal"/>
        <w:numPr>
          <w:ilvl w:val="0"/>
          <w:numId w:val="2"/>
        </w:numPr>
        <w:ind w:hanging="720" w:start="1440" w:end="0"/>
        <w:jc w:val="both"/>
        <w:rPr>
          <w:sz w:val="22"/>
        </w:rPr>
      </w:pPr>
      <w:r>
        <w:rPr>
          <w:sz w:val="22"/>
        </w:rPr>
        <w:t>Closing out each Firm transaction at its Market Value, as defined below, so that each transaction is canceled and a settlement payment in an amount equal to the difference between such Market Value and the Contract Value, as defined below, of such transaction shall be due to Buyer under the transaction if such Market Value exceeds the Contract Value and to Seller if the opposite is the case; and</w:t>
      </w:r>
    </w:p>
    <w:p>
      <w:pPr>
        <w:pStyle w:val="Normal"/>
        <w:numPr>
          <w:ilvl w:val="0"/>
          <w:numId w:val="0"/>
        </w:numPr>
        <w:ind w:hanging="720" w:start="1440" w:end="0"/>
        <w:jc w:val="both"/>
        <w:rPr>
          <w:sz w:val="22"/>
        </w:rPr>
      </w:pPr>
      <w:r>
        <w:rPr>
          <w:sz w:val="22"/>
        </w:rPr>
      </w:r>
    </w:p>
    <w:p>
      <w:pPr>
        <w:pStyle w:val="Normal"/>
        <w:numPr>
          <w:ilvl w:val="0"/>
          <w:numId w:val="2"/>
        </w:numPr>
        <w:ind w:hanging="720" w:start="1440" w:end="0"/>
        <w:jc w:val="both"/>
        <w:rPr>
          <w:sz w:val="22"/>
        </w:rPr>
      </w:pPr>
      <w:r>
        <w:rPr>
          <w:sz w:val="22"/>
        </w:rPr>
        <w:t>Discounting each amount then due under clause (i) above to the present value in a commercially reasonable manner as of the time of liquidation (to take account of the period between the date of liquidation and the date on which such amount would have otherwise been due pursuant to the relevant transaction); and</w:t>
      </w:r>
    </w:p>
    <w:p>
      <w:pPr>
        <w:pStyle w:val="Normal"/>
        <w:numPr>
          <w:ilvl w:val="0"/>
          <w:numId w:val="0"/>
        </w:numPr>
        <w:ind w:hanging="720" w:start="1440" w:end="0"/>
        <w:jc w:val="both"/>
        <w:rPr>
          <w:sz w:val="22"/>
        </w:rPr>
      </w:pPr>
      <w:r>
        <w:rPr>
          <w:sz w:val="22"/>
        </w:rPr>
      </w:r>
    </w:p>
    <w:p>
      <w:pPr>
        <w:pStyle w:val="Normal"/>
        <w:numPr>
          <w:ilvl w:val="0"/>
          <w:numId w:val="2"/>
        </w:numPr>
        <w:ind w:hanging="720" w:start="1440" w:end="0"/>
        <w:jc w:val="both"/>
        <w:rPr>
          <w:sz w:val="22"/>
        </w:rPr>
      </w:pPr>
      <w:r>
        <w:rPr>
          <w:sz w:val="22"/>
        </w:rPr>
        <w:t>Setting off or aggregating, as appropriate, any or all settlement payments (discounted as appropriate) and (at the election of the non-defaulting party) any or all other amounts owing between the parties under the Base Contract so that all such amounts are aggregated and/or netted to a single liquidated amount payable by one party to the other.  The net amount due any such liquidation shall be paid by the close of business on the Business Day following the receipt of written notice of the amount due, which notice shall be given on or as soon as reasonably practicable following the occurrence of an Early Termination Date.</w:t>
      </w:r>
    </w:p>
    <w:p>
      <w:pPr>
        <w:pStyle w:val="Normal"/>
        <w:jc w:val="both"/>
        <w:rPr>
          <w:sz w:val="22"/>
        </w:rPr>
      </w:pPr>
      <w:r>
        <w:rPr>
          <w:sz w:val="22"/>
        </w:rPr>
      </w:r>
    </w:p>
    <w:p>
      <w:pPr>
        <w:pStyle w:val="Normal"/>
        <w:jc w:val="both"/>
        <w:rPr>
          <w:sz w:val="22"/>
        </w:rPr>
      </w:pPr>
      <w:r>
        <w:rPr>
          <w:sz w:val="22"/>
        </w:rPr>
        <w:t>For purposes of Section 10.3, “Contract Value” means the amount of the Gas remaining to be delivered or purchased under a transaction multiplied by the Contract price per unit, and “Market Value” means the amount of Gas remaining to be delivered or purchased under a Firm transaction multiplied by the market price per unit to be determined by the non-defaulting party in a commercially reasonable manner using the Cover Standard.  The non-defaulting party shall determine the rate of interest used in calculating net present value in a commercially reasonable manner.  The parties agree that a transaction under this Section 10.3 shall constitute a “forward contract” within the meaning of the United States Bankruptcy code.</w:t>
      </w:r>
    </w:p>
    <w:p>
      <w:pPr>
        <w:pStyle w:val="Normal"/>
        <w:jc w:val="both"/>
        <w:rPr>
          <w:sz w:val="22"/>
        </w:rPr>
      </w:pPr>
      <w:r>
        <w:rPr>
          <w:sz w:val="22"/>
        </w:rPr>
      </w:r>
    </w:p>
    <w:p>
      <w:pPr>
        <w:pStyle w:val="Normal"/>
        <w:jc w:val="both"/>
        <w:rPr>
          <w:sz w:val="22"/>
        </w:rPr>
      </w:pPr>
      <w:r>
        <w:rPr>
          <w:sz w:val="22"/>
        </w:rPr>
        <w:t>The non-defaulting party’s rights under this Section 10.3 and to those amounts due under Section 3 accrued prior to the Early Termination Date are the sole and exclusive remedy of the non-defaulting party.  The non-defaulting party shall give notice that a liquidation pursuant to this Section 10.3 has occurred to the defaulting party no later than the Business Day following such liquidation, provided that failure to give such notice shall not affect the validity or enforceability of the liquidation or give rise to any claim by the defaulting party against the non-defaulting party.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end"/>
        <w:rPr>
          <w:sz w:val="18"/>
        </w:rPr>
      </w:pPr>
      <w:r>
        <w:rPr>
          <w:sz w:val="18"/>
        </w:rPr>
        <w:t>Revision 4/1/2000</w:t>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t>Initials:  _____ / _____</w:t>
      </w:r>
    </w:p>
    <w:p>
      <w:pPr>
        <w:pStyle w:val="Normal"/>
        <w:jc w:val="both"/>
        <w:rPr>
          <w:sz w:val="22"/>
        </w:rPr>
      </w:pPr>
      <w:r>
        <w:rPr>
          <w:sz w:val="22"/>
        </w:rPr>
        <w:fldChar w:fldCharType="begin"/>
      </w:r>
      <w:r>
        <w:rPr>
          <w:sz w:val="22"/>
        </w:rPr>
        <w:instrText xml:space="preserve"> FILENAME \p </w:instrText>
      </w:r>
      <w:r>
        <w:rPr>
          <w:sz w:val="22"/>
        </w:rPr>
        <w:fldChar w:fldCharType="separate"/>
      </w:r>
      <w:r>
        <w:rPr>
          <w:sz w:val="22"/>
        </w:rPr>
        <w:t>/mnt/main-storage/datasets/enron-docs/doc/HESCO_SpecProv.doc</w:t>
      </w:r>
      <w:r>
        <w:rPr>
          <w:sz w:val="22"/>
        </w:rPr>
        <w:fldChar w:fldCharType="end"/>
      </w:r>
    </w:p>
    <w:sectPr>
      <w:footerReference w:type="default" r:id="rId2"/>
      <w:type w:val="nextPage"/>
      <w:pgSz w:w="12240" w:h="15840"/>
      <w:pgMar w:left="1440" w:right="144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18"/>
      </w:rPr>
    </w:pPr>
    <w:r>
      <w:rPr>
        <w:sz w:val="18"/>
      </w:rPr>
    </w:r>
  </w:p>
  <w:p>
    <w:pPr>
      <w:pStyle w:val="Normal"/>
      <w:jc w:val="end"/>
      <w:rPr>
        <w:sz w:val="18"/>
      </w:rPr>
    </w:pPr>
    <w:r>
      <w:rPr>
        <w:sz w:val="18"/>
      </w:rPr>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lowerRoman"/>
      <w:lvlText w:val="%1."/>
      <w:lvlJc w:val="start"/>
      <w:pPr>
        <w:tabs>
          <w:tab w:val="num" w:pos="360"/>
        </w:tabs>
        <w:ind w:start="108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2000-10-31T14:34:00Z</dcterms:created>
  <dc:creator>Preferred Customer</dc:creator>
  <dc:description/>
  <dc:language>en-CA</dc:language>
  <cp:lastModifiedBy>Amerada Hess Corporation</cp:lastModifiedBy>
  <cp:lastPrinted>1999-03-18T12:23:00Z</cp:lastPrinted>
  <dcterms:modified xsi:type="dcterms:W3CDTF">2001-03-07T13:54:00Z</dcterms:modified>
  <cp:revision>6</cp:revision>
  <dc:subject/>
  <dc:title>ADDENDUM</dc:title>
</cp:coreProperties>
</file>