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ite15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September 6,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Thomas L. Goudie</w:t>
      </w:r>
    </w:p>
    <w:p>
      <w:pPr>
        <w:pStyle w:val="Normal"/>
        <w:rPr/>
      </w:pPr>
      <w:r>
        <w:rPr/>
        <w:t>Houston Energy Services Company, LLC.</w:t>
      </w:r>
    </w:p>
    <w:p>
      <w:pPr>
        <w:pStyle w:val="uite150"/>
        <w:rPr/>
      </w:pPr>
      <w:r>
        <w:rPr/>
        <w:t>10497 Town and Country Way, Suite 150</w:t>
      </w:r>
    </w:p>
    <w:p>
      <w:pPr>
        <w:pStyle w:val="uite150"/>
        <w:rPr/>
      </w:pPr>
      <w:r>
        <w:rPr/>
        <w:t>Houston, Texas 77024</w:t>
      </w:r>
    </w:p>
    <w:p>
      <w:pPr>
        <w:pStyle w:val="Normal"/>
        <w:rPr/>
      </w:pPr>
      <w:r>
        <w:rPr/>
        <w:br/>
        <w:t>Dear Mr. Goudie: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ab/>
        <w:t>Per your conversation with Kim Ward, below is a listing of contractual provisions that Enron North America Corp. views as necessary in long-term contracts.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A provision which sets out triggering events that may lead to the early termination of the agreement similar to Article 4 of the Enfolio Master Firm Purchase/Sale Agreement (the “Master Firm”).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A provision providing for the payment of damages due to a party’s non-performance similar to Article 3 of the Master Firm.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A provision which limits a party’s payment for damages to direct, actual damage similar to Section 8.3 of the Master Firm.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A provision which provides for credit protections like a collateral requirement threshold similar to Section 4.5 of the Master Firm.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A provision which states that the agreement will be governed by Texas law similar to Section 8.5 of the Master Firm.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A provision relating to bankruptcy law similar to Section 8.7 of the Master Firm.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A provision which provides for dispute resolution through arbitration similar to Appendix “1” of the Master Firm.</w:t>
      </w:r>
    </w:p>
    <w:p>
      <w:pPr>
        <w:pStyle w:val="BodyText"/>
        <w:ind w:firstLine="720" w:end="0"/>
        <w:rPr/>
      </w:pPr>
      <w:r>
        <w:rPr/>
      </w:r>
    </w:p>
    <w:p>
      <w:pPr>
        <w:pStyle w:val="BodyText"/>
        <w:ind w:firstLine="720" w:end="0"/>
        <w:rPr/>
      </w:pPr>
      <w:r>
        <w:rPr/>
      </w:r>
    </w:p>
    <w:p>
      <w:pPr>
        <w:pStyle w:val="BodyText"/>
        <w:ind w:firstLine="720" w:end="0"/>
        <w:rPr/>
      </w:pPr>
      <w:r>
        <w:rPr/>
        <w:t>By providing this list, ENA is not providing HESCO with commercial or trading advice.  Should you have any questions, feel free to contact 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Stacy Dickson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SD/pao</w:t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800" w:gutter="0" w:header="706" w:top="1440" w:footer="706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O:\common\legal\sdickson\letters\aquila energy.doc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Thomas L. Goudie</w:t>
    </w:r>
  </w:p>
  <w:p>
    <w:pPr>
      <w:pStyle w:val="Header"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uite150">
    <w:name w:val="uite 150"/>
    <w:basedOn w:val="Normal"/>
    <w:qFormat/>
    <w:pPr/>
    <w:rPr/>
  </w:style>
  <w:style w:type="paragraph" w:styleId="HeaderLeft">
    <w:name w:val="Header Left"/>
    <w:basedOn w:val="Header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2001-09-06T18:34:00Z</dcterms:created>
  <dc:creator>lnoske</dc:creator>
  <dc:description/>
  <dc:language>en-CA</dc:language>
  <cp:lastModifiedBy>sdickso</cp:lastModifiedBy>
  <cp:lastPrinted>2001-09-06T15:23:00Z</cp:lastPrinted>
  <dcterms:modified xsi:type="dcterms:W3CDTF">2001-09-06T18:34:00Z</dcterms:modified>
  <cp:revision>4</cp:revision>
  <dc:subject/>
  <dc:title/>
</cp:coreProperties>
</file>