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>
          <w:sz w:val="22"/>
        </w:rPr>
        <w:t>NAME:</w:t>
        <w:tab/>
        <w:tab/>
        <w:tab/>
        <w:t xml:space="preserve">PATRICK </w:t>
      </w:r>
      <w:r>
        <w:rPr>
          <w:sz w:val="22"/>
          <w:u w:val="single"/>
        </w:rPr>
        <w:t>HENAFF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EDUCATION:</w:t>
        <w:tab/>
        <w:tab/>
        <w:t>Massachusetts Institute of Technology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Postdoctoral Associate; 1986.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University of Texas, Graduate School of Business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Ph.D., 1985.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University of Maryland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MA, Applied Mathematics; 1981.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CAREER HISTORY:</w:t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Jan 1998 – Date</w:t>
        <w:tab/>
        <w:tab/>
      </w:r>
      <w:r>
        <w:rPr>
          <w:sz w:val="22"/>
          <w:u w:val="single"/>
        </w:rPr>
        <w:t>KOCH ENERGY TRADING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Managing Director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In charge of research for the Natural Gas and Power Divisions.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Leading the development of component-oriented decision –support environment.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Introduced a portfolio –based approach to trading, optimizing the risk/return trade off of proprietary position.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July 1996 – Dec 1997</w:t>
        <w:tab/>
      </w:r>
      <w:r>
        <w:rPr>
          <w:sz w:val="22"/>
          <w:u w:val="single"/>
        </w:rPr>
        <w:t>DRESDNER KLEINWORT BENSON (MARCHES), PARIS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Managing Director and Member of the Board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Co-head of quantitative research in the Global Markets division of Dresdner Kleinwort Benson AG.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In charge of research and front office decision-support systems for two business units within the Global Markets Division: Fixed0Income Arbitrage &amp; Equity Derivatives.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Jan 1990 – July 1996</w:t>
        <w:tab/>
      </w:r>
      <w:r>
        <w:rPr>
          <w:sz w:val="22"/>
          <w:u w:val="single"/>
        </w:rPr>
        <w:t>BIP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Head of Research Department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Development of arbitrage strategies using fixed-income instruments and derivatives products.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Development of a portfolio management method based on stochastic optimization.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Managed the design and implementation of a comprehensive decision-support system for the pricing and risk management of arbitrage strategies, using object-oriented technology.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In charge of 15 quantitative analysts and computer scientists. Annual operating budget: $1.5 million.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Jan 1989 – Jan 1990</w:t>
        <w:tab/>
      </w:r>
      <w:r>
        <w:rPr>
          <w:sz w:val="22"/>
          <w:u w:val="single"/>
        </w:rPr>
        <w:t>CREDIT LYONNAIS, PARIS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In charge of financial engineering in the asset securitization group.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Structured the first French asset-backed instrument (CL-BS 90-1)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Responsible for development of the primary servicing system.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Jan 1987 – Jan 1989</w:t>
        <w:tab/>
      </w:r>
      <w:r>
        <w:rPr>
          <w:sz w:val="22"/>
          <w:u w:val="single"/>
        </w:rPr>
        <w:t>GOLDMAN, SACHS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Associate, Fixed Income Research and Mortgage Research Departments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Development of a method for optimizing the settlement of TBAs.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Construction of an asset-liability model designed to handle a wide variety of derivative instruments.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</w:r>
    </w:p>
    <w:sectPr>
      <w:type w:val="nextPage"/>
      <w:pgSz w:w="12240" w:h="15840"/>
      <w:pgMar w:left="720" w:right="1008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07"/>
      <w:numFmt w:val="bullet"/>
      <w:lvlText w:val="-"/>
      <w:lvlJc w:val="start"/>
      <w:pPr>
        <w:tabs>
          <w:tab w:val="num" w:pos="2520"/>
        </w:tabs>
        <w:ind w:start="2520" w:hanging="360"/>
      </w:pPr>
      <w:rPr>
        <w:rFonts w:ascii="Liberation Serif" w:hAnsi="Liberation Serif" w:cs="Liberation Serif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2000-04-24T18:00:00Z</dcterms:created>
  <dc:creator>Robert Walters Assoc.</dc:creator>
  <dc:description/>
  <dc:language>en-CA</dc:language>
  <cp:lastModifiedBy>Robert Walters Assoc.</cp:lastModifiedBy>
  <dcterms:modified xsi:type="dcterms:W3CDTF">2000-04-24T19:15:00Z</dcterms:modified>
  <cp:revision>3</cp:revision>
  <dc:subject/>
  <dc:title>NAME:</dc:title>
</cp:coreProperties>
</file>