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998"/>
        <w:gridCol w:w="3600"/>
        <w:gridCol w:w="3960"/>
      </w:tblGrid>
      <w:tr>
        <w:trPr/>
        <w:tc>
          <w:tcPr>
            <w:tcW w:w="1998" w:type="dxa"/>
            <w:tcBorders/>
          </w:tcPr>
          <w:p>
            <w:pPr>
              <w:pStyle w:val="Header"/>
              <w:widowControl w:val="false"/>
              <w:tabs>
                <w:tab w:val="clear" w:pos="4320"/>
                <w:tab w:val="right" w:pos="8640" w:leader="none"/>
              </w:tabs>
              <w:rPr>
                <w:sz w:val="22"/>
              </w:rPr>
            </w:pPr>
            <w:r>
              <w:rPr>
                <w:sz w:val="22"/>
              </w:rPr>
              <w:drawing>
                <wp:inline distT="0" distB="0" distL="0" distR="0">
                  <wp:extent cx="1003300" cy="9975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97585"/>
                          </a:xfrm>
                          <a:prstGeom prst="rect">
                            <a:avLst/>
                          </a:prstGeom>
                          <a:noFill/>
                        </pic:spPr>
                      </pic:pic>
                    </a:graphicData>
                  </a:graphic>
                </wp:inline>
              </w:drawing>
            </w:r>
          </w:p>
        </w:tc>
        <w:tc>
          <w:tcPr>
            <w:tcW w:w="3600" w:type="dxa"/>
            <w:tcBorders/>
          </w:tcPr>
          <w:p>
            <w:pPr>
              <w:pStyle w:val="Normal"/>
              <w:widowControl w:val="false"/>
              <w:tabs>
                <w:tab w:val="clear" w:pos="720"/>
                <w:tab w:val="right" w:pos="8640" w:leader="none"/>
              </w:tabs>
              <w:snapToGrid w:val="false"/>
              <w:jc w:val="center"/>
              <w:rPr>
                <w:sz w:val="22"/>
              </w:rPr>
            </w:pPr>
            <w:r>
              <w:rPr>
                <w:sz w:val="22"/>
              </w:rPr>
            </w:r>
          </w:p>
        </w:tc>
        <w:tc>
          <w:tcPr>
            <w:tcW w:w="3960" w:type="dxa"/>
            <w:tcBorders/>
          </w:tcPr>
          <w:p>
            <w:pPr>
              <w:pStyle w:val="Normal"/>
              <w:widowControl w:val="false"/>
              <w:tabs>
                <w:tab w:val="clear" w:pos="720"/>
                <w:tab w:val="right" w:pos="8640" w:leader="none"/>
              </w:tabs>
              <w:snapToGrid w:val="false"/>
              <w:jc w:val="center"/>
              <w:rPr>
                <w:b/>
                <w:sz w:val="22"/>
              </w:rPr>
            </w:pPr>
            <w:r>
              <w:rPr>
                <w:b/>
                <w:sz w:val="22"/>
              </w:rPr>
            </w:r>
          </w:p>
          <w:p>
            <w:pPr>
              <w:pStyle w:val="Normal"/>
              <w:widowControl w:val="false"/>
              <w:tabs>
                <w:tab w:val="clear" w:pos="720"/>
                <w:tab w:val="right" w:pos="8640" w:leader="none"/>
              </w:tabs>
              <w:jc w:val="center"/>
              <w:rPr>
                <w:b/>
                <w:sz w:val="22"/>
              </w:rPr>
            </w:pPr>
            <w:r>
              <w:rPr>
                <w:b/>
                <w:sz w:val="22"/>
              </w:rPr>
            </w:r>
          </w:p>
          <w:p>
            <w:pPr>
              <w:pStyle w:val="Heading3"/>
              <w:ind w:hanging="0" w:start="0"/>
              <w:rPr/>
            </w:pPr>
            <w:r>
              <w:rPr/>
              <w:t>INTEROFFICE</w:t>
            </w:r>
          </w:p>
          <w:p>
            <w:pPr>
              <w:pStyle w:val="Normal"/>
              <w:widowControl w:val="false"/>
              <w:tabs>
                <w:tab w:val="clear" w:pos="720"/>
                <w:tab w:val="right" w:pos="8640" w:leader="none"/>
              </w:tabs>
              <w:jc w:val="center"/>
              <w:rPr>
                <w:b/>
                <w:sz w:val="22"/>
              </w:rPr>
            </w:pPr>
            <w:r>
              <w:rPr>
                <w:b/>
                <w:sz w:val="22"/>
              </w:rPr>
              <w:t>MEMORANDUM</w:t>
            </w:r>
          </w:p>
          <w:p>
            <w:pPr>
              <w:pStyle w:val="Normal"/>
              <w:widowControl w:val="false"/>
              <w:tabs>
                <w:tab w:val="clear" w:pos="720"/>
                <w:tab w:val="right" w:pos="8640" w:leader="none"/>
              </w:tabs>
              <w:jc w:val="center"/>
              <w:rPr>
                <w:b/>
                <w:sz w:val="22"/>
              </w:rPr>
            </w:pPr>
            <w:r>
              <w:rPr>
                <w:b/>
                <w:sz w:val="22"/>
              </w:rPr>
            </w:r>
          </w:p>
        </w:tc>
      </w:tr>
    </w:tbl>
    <w:p>
      <w:pPr>
        <w:pStyle w:val="Normal"/>
        <w:widowControl w:val="false"/>
        <w:tabs>
          <w:tab w:val="clear" w:pos="720"/>
          <w:tab w:val="right" w:pos="8640" w:leader="none"/>
        </w:tabs>
        <w:rPr>
          <w:sz w:val="22"/>
        </w:rPr>
      </w:pPr>
      <w:r>
        <w:rPr>
          <w:sz w:val="22"/>
        </w:rPr>
      </w:r>
    </w:p>
    <w:p>
      <w:pPr>
        <w:pStyle w:val="Normal"/>
        <w:widowControl w:val="false"/>
        <w:tabs>
          <w:tab w:val="clear" w:pos="720"/>
          <w:tab w:val="right" w:pos="9360" w:leader="none"/>
        </w:tabs>
        <w:jc w:val="end"/>
        <w:rPr/>
      </w:pPr>
      <w:r>
        <w:rPr>
          <w:sz w:val="22"/>
        </w:rPr>
        <w:tab/>
      </w:r>
      <w:r>
        <w:rPr>
          <w:b/>
          <w:sz w:val="22"/>
        </w:rPr>
        <w:t>PRIVILEGED AND CONFIDENTIAL</w:t>
      </w:r>
    </w:p>
    <w:p>
      <w:pPr>
        <w:pStyle w:val="Heading2"/>
        <w:ind w:hanging="0" w:start="0"/>
        <w:rPr/>
      </w:pPr>
      <w:r>
        <w:rPr/>
        <w:t>ATTORNEY CLIENT COMMUNICATION</w:t>
      </w:r>
    </w:p>
    <w:p>
      <w:pPr>
        <w:pStyle w:val="Heading1"/>
        <w:keepNext w:val="false"/>
        <w:widowControl w:val="false"/>
        <w:tabs>
          <w:tab w:val="clear" w:pos="720"/>
          <w:tab w:val="right" w:pos="9360" w:leader="none"/>
        </w:tabs>
        <w:spacing w:before="0" w:after="60"/>
        <w:ind w:hanging="0" w:start="0"/>
        <w:jc w:val="end"/>
        <w:rPr>
          <w:rFonts w:ascii="Times New Roman" w:hAnsi="Times New Roman" w:cs="Times New Roman"/>
          <w:sz w:val="22"/>
        </w:rPr>
      </w:pPr>
      <w:r>
        <w:rPr>
          <w:rFonts w:cs="Times New Roman" w:ascii="Times New Roman" w:hAnsi="Times New Roman"/>
          <w:sz w:val="22"/>
        </w:rPr>
        <w:tab/>
        <w:t>ATTORNEY WORK PRODUCT</w:t>
      </w:r>
    </w:p>
    <w:p>
      <w:pPr>
        <w:pStyle w:val="Normal"/>
        <w:rPr>
          <w:rFonts w:ascii="Times New Roman" w:hAnsi="Times New Roman" w:cs="Times New Roman"/>
          <w:sz w:val="22"/>
        </w:rPr>
      </w:pPr>
      <w:r>
        <w:rPr>
          <w:rFonts w:cs="Times New Roman"/>
          <w:sz w:val="22"/>
        </w:rPr>
      </w:r>
    </w:p>
    <w:tbl>
      <w:tblPr>
        <w:tblW w:w="9360" w:type="dxa"/>
        <w:jc w:val="start"/>
        <w:tblInd w:w="0" w:type="dxa"/>
        <w:tblLayout w:type="fixed"/>
        <w:tblCellMar>
          <w:top w:w="0" w:type="dxa"/>
          <w:start w:w="0" w:type="dxa"/>
          <w:bottom w:w="0" w:type="dxa"/>
          <w:end w:w="0" w:type="dxa"/>
        </w:tblCellMar>
      </w:tblPr>
      <w:tblGrid>
        <w:gridCol w:w="1440"/>
        <w:gridCol w:w="7920"/>
      </w:tblGrid>
      <w:tr>
        <w:trPr/>
        <w:tc>
          <w:tcPr>
            <w:tcW w:w="1440" w:type="dxa"/>
            <w:tcBorders/>
          </w:tcPr>
          <w:p>
            <w:pPr>
              <w:pStyle w:val="MemoHeading1"/>
              <w:widowControl w:val="false"/>
              <w:spacing w:before="0" w:after="180"/>
              <w:rPr>
                <w:rFonts w:ascii="Times New Roman" w:hAnsi="Times New Roman" w:cs="Times New Roman"/>
                <w:sz w:val="22"/>
              </w:rPr>
            </w:pPr>
            <w:r>
              <w:rPr>
                <w:rFonts w:cs="Times New Roman" w:ascii="Times New Roman" w:hAnsi="Times New Roman"/>
                <w:sz w:val="22"/>
              </w:rPr>
              <w:t>TO:</w:t>
            </w:r>
          </w:p>
        </w:tc>
        <w:tc>
          <w:tcPr>
            <w:tcW w:w="7920" w:type="dxa"/>
            <w:tcBorders/>
          </w:tcPr>
          <w:p>
            <w:pPr>
              <w:pStyle w:val="Normal"/>
              <w:widowControl w:val="false"/>
              <w:spacing w:before="0" w:after="180"/>
              <w:ind w:end="216"/>
              <w:rPr>
                <w:sz w:val="22"/>
              </w:rPr>
            </w:pPr>
            <w:r>
              <w:rPr>
                <w:sz w:val="22"/>
              </w:rPr>
              <w:t>Dave Delainey, Janet Dietrich, Dan Leff, Vicki Sharp</w:t>
            </w:r>
          </w:p>
        </w:tc>
      </w:tr>
      <w:tr>
        <w:trPr/>
        <w:tc>
          <w:tcPr>
            <w:tcW w:w="1440" w:type="dxa"/>
            <w:tcBorders/>
          </w:tcPr>
          <w:p>
            <w:pPr>
              <w:pStyle w:val="MemoHeading1"/>
              <w:widowControl w:val="false"/>
              <w:spacing w:before="0" w:after="180"/>
              <w:rPr>
                <w:rFonts w:ascii="Times New Roman" w:hAnsi="Times New Roman" w:cs="Times New Roman"/>
                <w:sz w:val="22"/>
              </w:rPr>
            </w:pPr>
            <w:r>
              <w:rPr>
                <w:rFonts w:cs="Times New Roman" w:ascii="Times New Roman" w:hAnsi="Times New Roman"/>
                <w:sz w:val="22"/>
              </w:rPr>
              <w:t>FROM:</w:t>
            </w:r>
          </w:p>
        </w:tc>
        <w:tc>
          <w:tcPr>
            <w:tcW w:w="7920" w:type="dxa"/>
            <w:tcBorders/>
          </w:tcPr>
          <w:p>
            <w:pPr>
              <w:pStyle w:val="Normal"/>
              <w:widowControl w:val="false"/>
              <w:spacing w:before="0" w:after="180"/>
              <w:ind w:end="216"/>
              <w:rPr>
                <w:sz w:val="22"/>
              </w:rPr>
            </w:pPr>
            <w:r>
              <w:rPr>
                <w:sz w:val="22"/>
              </w:rPr>
              <w:t>Michael D. Smith</w:t>
            </w:r>
          </w:p>
        </w:tc>
      </w:tr>
      <w:tr>
        <w:trPr/>
        <w:tc>
          <w:tcPr>
            <w:tcW w:w="1440" w:type="dxa"/>
            <w:tcBorders/>
          </w:tcPr>
          <w:p>
            <w:pPr>
              <w:pStyle w:val="MemoHeading1"/>
              <w:widowControl w:val="false"/>
              <w:spacing w:before="0" w:after="180"/>
              <w:rPr>
                <w:rFonts w:ascii="Times New Roman" w:hAnsi="Times New Roman" w:cs="Times New Roman"/>
                <w:sz w:val="22"/>
              </w:rPr>
            </w:pPr>
            <w:r>
              <w:rPr>
                <w:rFonts w:cs="Times New Roman" w:ascii="Times New Roman" w:hAnsi="Times New Roman"/>
                <w:sz w:val="22"/>
              </w:rPr>
              <w:t>DATE:</w:t>
            </w:r>
          </w:p>
        </w:tc>
        <w:tc>
          <w:tcPr>
            <w:tcW w:w="7920" w:type="dxa"/>
            <w:tcBorders/>
          </w:tcPr>
          <w:p>
            <w:pPr>
              <w:pStyle w:val="Normal"/>
              <w:widowControl w:val="false"/>
              <w:spacing w:before="0" w:after="180"/>
              <w:ind w:end="216"/>
              <w:rPr>
                <w:sz w:val="22"/>
              </w:rPr>
            </w:pPr>
            <w:r>
              <w:rPr>
                <w:sz w:val="22"/>
              </w:rPr>
              <w:t>September 24, 2001</w:t>
            </w:r>
          </w:p>
        </w:tc>
      </w:tr>
      <w:tr>
        <w:trPr/>
        <w:tc>
          <w:tcPr>
            <w:tcW w:w="1440" w:type="dxa"/>
            <w:tcBorders/>
          </w:tcPr>
          <w:p>
            <w:pPr>
              <w:pStyle w:val="MemoHeading1"/>
              <w:widowControl w:val="false"/>
              <w:spacing w:before="0" w:after="180"/>
              <w:rPr>
                <w:rFonts w:ascii="Times New Roman" w:hAnsi="Times New Roman" w:cs="Times New Roman"/>
                <w:sz w:val="22"/>
              </w:rPr>
            </w:pPr>
            <w:r>
              <w:rPr>
                <w:rFonts w:cs="Times New Roman" w:ascii="Times New Roman" w:hAnsi="Times New Roman"/>
                <w:sz w:val="22"/>
              </w:rPr>
              <w:t>SUBJECT:</w:t>
            </w:r>
          </w:p>
        </w:tc>
        <w:tc>
          <w:tcPr>
            <w:tcW w:w="7920" w:type="dxa"/>
            <w:tcBorders/>
          </w:tcPr>
          <w:p>
            <w:pPr>
              <w:pStyle w:val="Normal"/>
              <w:widowControl w:val="false"/>
              <w:spacing w:before="0" w:after="120"/>
              <w:ind w:end="216"/>
              <w:rPr>
                <w:sz w:val="22"/>
              </w:rPr>
            </w:pPr>
            <w:r>
              <w:rPr>
                <w:sz w:val="22"/>
              </w:rPr>
              <w:t>Risk Memorandum; Home Depot; TX Transactions</w:t>
            </w:r>
          </w:p>
          <w:p>
            <w:pPr>
              <w:pStyle w:val="Normal"/>
              <w:widowControl w:val="false"/>
              <w:spacing w:before="0" w:after="120"/>
              <w:ind w:end="216"/>
              <w:rPr>
                <w:sz w:val="22"/>
              </w:rPr>
            </w:pPr>
            <w:r>
              <w:rPr>
                <w:sz w:val="22"/>
              </w:rPr>
              <w:t>Legal Risk Rating: 3</w:t>
            </w:r>
          </w:p>
        </w:tc>
      </w:tr>
    </w:tbl>
    <w:p>
      <w:pPr>
        <w:pStyle w:val="Normal"/>
        <w:jc w:val="both"/>
        <w:rPr>
          <w:sz w:val="22"/>
        </w:rPr>
      </w:pPr>
      <w:r>
        <w:rPr>
          <w:sz w:val="22"/>
        </w:rPr>
      </w:r>
    </w:p>
    <w:p>
      <w:pPr>
        <w:pStyle w:val="Normal"/>
        <w:jc w:val="both"/>
        <w:rPr>
          <w:sz w:val="22"/>
        </w:rPr>
      </w:pPr>
      <w:r>
        <w:rPr>
          <w:sz w:val="22"/>
        </w:rPr>
        <w:t xml:space="preserve">This Risk Memorandum describes incremental risks associated with 2 Transactions with Home Depot for certain Facilities located in Texas.  These Transactions will be entered pursuant to the June 18, 2001 Master Electric Energy Services and Sales Agreement with Home Depot USA, Inc.  A Risk Memorandum for that Master Agreement and associated California Transactions was circulated on June 15, 2001.  </w:t>
      </w:r>
    </w:p>
    <w:p>
      <w:pPr>
        <w:pStyle w:val="Normal"/>
        <w:jc w:val="both"/>
        <w:rPr>
          <w:sz w:val="22"/>
        </w:rPr>
      </w:pPr>
      <w:r>
        <w:rPr>
          <w:sz w:val="22"/>
        </w:rPr>
      </w:r>
    </w:p>
    <w:p>
      <w:pPr>
        <w:pStyle w:val="BodyText3"/>
        <w:rPr/>
      </w:pPr>
      <w:r>
        <w:rPr/>
        <w:t xml:space="preserve">Subsequent to the execution of the June 18 Master Agreement, the Parties executed an Amended and Restated Master Agreement in order to clarify certain matters in the June 18 Master, particularly with respect to 1) the addition of language clarifying that, when calculating an Early Termination Payment as result of a change in law or utility non-performance, EES is doing so as the Non-Defaulting Party; and 2) the factors EES may consider in the determination of “Market Value” when EES is calculating an Early Termination Payment.   At the Customer’s request, we have voided that Amended and Restated Master Agreement and are relying upon and operating under the original June 18 Master for all subsequent transactions.  We unsuccessfully attempted to negotiate into the TX Transactions clarifying language similar to that included in the Amended and Restated Master.  The upshot is that these Transactions are being executed without the benefit of the clarifications made in the Amended and Restated Master. The subject provisions of the June 18 Master could be tested early during the term of these 2 Transactions. These 2 Transactions assume that EES will commence physical supply of electricity to these Facilities on January 1, 2002, upon the opening of the Texas market. If the opening of the Texas market is delayed, it would constitute a Change in Law as defined in the Master Agreement, and EES could elect to terminate the Transactions and receive or pay an Early Termination Payment as result thereof.  Given the potential that a substantial Early Termination Payment could be charged to the customer, it is likely that the calculation of the Early Termination Payment would be arbitrated. </w:t>
      </w:r>
    </w:p>
    <w:p>
      <w:pPr>
        <w:pStyle w:val="BodyText3"/>
        <w:rPr/>
      </w:pPr>
      <w:r>
        <w:rPr/>
      </w:r>
    </w:p>
    <w:p>
      <w:pPr>
        <w:pStyle w:val="BodyText3"/>
        <w:rPr/>
      </w:pPr>
      <w:r>
        <w:rPr/>
        <w:t>cc:</w:t>
      </w:r>
    </w:p>
    <w:p>
      <w:pPr>
        <w:pStyle w:val="Normal"/>
        <w:jc w:val="both"/>
        <w:rPr>
          <w:sz w:val="22"/>
        </w:rPr>
      </w:pPr>
      <w:r>
        <w:rPr>
          <w:sz w:val="22"/>
        </w:rPr>
        <w:t xml:space="preserve">Mark Haedicke </w:t>
        <w:tab/>
        <w:tab/>
        <w:t>Sean Holmes</w:t>
        <w:tab/>
        <w:tab/>
        <w:t>Jeremy Blachman</w:t>
      </w:r>
    </w:p>
    <w:p>
      <w:pPr>
        <w:pStyle w:val="Normal"/>
        <w:jc w:val="both"/>
        <w:rPr>
          <w:sz w:val="22"/>
        </w:rPr>
      </w:pPr>
      <w:r>
        <w:rPr>
          <w:sz w:val="22"/>
        </w:rPr>
        <w:t>Rogers Herndon</w:t>
        <w:tab/>
        <w:t>Angela Schwarz</w:t>
        <w:tab/>
        <w:t>Beth Apke</w:t>
        <w:tab/>
      </w:r>
    </w:p>
    <w:p>
      <w:pPr>
        <w:pStyle w:val="Normal"/>
        <w:jc w:val="both"/>
        <w:rPr>
          <w:sz w:val="22"/>
        </w:rPr>
      </w:pPr>
      <w:r>
        <w:rPr>
          <w:sz w:val="22"/>
        </w:rPr>
        <w:t>Brad Morse</w:t>
        <w:tab/>
        <w:tab/>
        <w:t>Denise Furey</w:t>
        <w:tab/>
        <w:tab/>
        <w:t>Evan Hughes</w:t>
      </w:r>
    </w:p>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/mnt/main-storage/datasets/enron-docs/doc/HD_Risk_Memo_9_24_clean.doc</w:t>
    </w:r>
    <w:r>
      <w:rPr>
        <w:lang w:eastAsia="en-US"/>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sz w:val="16"/>
                            </w:rPr>
                            <w:tab/>
                          </w:r>
                          <w:r>
                            <w:rPr>
                              <w:rStyle w:val="PageNumber"/>
                            </w:rPr>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sz w:val="16"/>
                      </w:rPr>
                      <w:tab/>
                    </w:r>
                    <w:r>
                      <w:rPr>
                        <w:rStyle w:val="PageNumber"/>
                      </w:rPr>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/mnt/main-storage/datasets/enron-docs/doc/HD_Risk_Memo_9_24_clean.doc</w:t>
    </w:r>
    <w:r>
      <w:rPr>
        <w:lang w:eastAsia="en-US"/>
      </w:rPr>
      <w:fldChar w:fldCharType="end"/>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27305</wp:posOffset>
              </wp:positionV>
              <wp:extent cx="1206500" cy="228600"/>
              <wp:effectExtent l="0" t="0" r="0" b="0"/>
              <wp:wrapNone/>
              <wp:docPr id="3" name="Frame1"/>
              <a:graphic xmlns:a="http://schemas.openxmlformats.org/drawingml/2006/main">
                <a:graphicData uri="http://schemas.microsoft.com/office/word/2010/wordprocessingShape">
                  <wps:wsp>
                    <wps:cNvSpPr txBox="1"/>
                    <wps:spPr>
                      <a:xfrm>
                        <a:off x="0" y="0"/>
                        <a:ext cx="1206500" cy="228600"/>
                      </a:xfrm>
                      <a:prstGeom prst="rect"/>
                      <a:solidFill>
                        <a:srgbClr val="FFFFFF">
                          <a:alpha val="0"/>
                        </a:srgbClr>
                      </a:solidFill>
                    </wps:spPr>
                    <wps:txbx>
                      <w:txbxContent>
                        <w:p>
                          <w:pPr>
                            <w:pStyle w:val="Footer"/>
                            <w:rPr/>
                          </w:pPr>
                          <w:r>
                            <w:rPr/>
                          </w:r>
                        </w:p>
                      </w:txbxContent>
                    </wps:txbx>
                    <wps:bodyPr anchor="t" lIns="635" tIns="635" rIns="635" bIns="635">
                      <a:noAutofit/>
                    </wps:bodyPr>
                  </wps:wsp>
                </a:graphicData>
              </a:graphic>
            </wp:anchor>
          </w:drawing>
        </mc:Choice>
        <mc:Fallback>
          <w:pict>
            <v:rect fillcolor="#FFFFFF" style="position:absolute;rotation:-0;width:95pt;height:18pt;mso-wrap-distance-left:9.05pt;mso-wrap-distance-right:9.05pt;mso-wrap-distance-top:0pt;mso-wrap-distance-bottom:0pt;margin-top:2.15pt;mso-position-vertical-relative:text;margin-left:0pt;mso-position-horizontal-relative:margin">
              <v:fill opacity="0f"/>
              <v:textbox inset="0.000694444444444445in,0.000694444444444445in,0.000694444444444445in,0.000694444444444445in">
                <w:txbxContent>
                  <w:p>
                    <w:pPr>
                      <w:pStyle w:val="Footer"/>
                      <w:rPr/>
                    </w:pPr>
                    <w:r>
                      <w:rPr/>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tabs>
        <w:tab w:val="clear" w:pos="720"/>
        <w:tab w:val="right" w:pos="9360" w:leader="none"/>
      </w:tabs>
      <w:jc w:val="end"/>
      <w:outlineLvl w:val="1"/>
    </w:pPr>
    <w:rPr>
      <w:b/>
      <w:sz w:val="22"/>
    </w:rPr>
  </w:style>
  <w:style w:type="paragraph" w:styleId="Heading3">
    <w:name w:val="heading 3"/>
    <w:basedOn w:val="Normal"/>
    <w:next w:val="Normal"/>
    <w:qFormat/>
    <w:pPr>
      <w:keepNext w:val="true"/>
      <w:widowControl w:val="false"/>
      <w:numPr>
        <w:ilvl w:val="2"/>
        <w:numId w:val="1"/>
      </w:numPr>
      <w:tabs>
        <w:tab w:val="clear" w:pos="720"/>
        <w:tab w:val="right" w:pos="8640" w:leader="none"/>
      </w:tabs>
      <w:jc w:val="center"/>
      <w:outlineLvl w:val="2"/>
    </w:pPr>
    <w:rPr>
      <w:b/>
      <w:sz w:val="22"/>
    </w:rPr>
  </w:style>
  <w:style w:type="character" w:styleId="WW8Num1z0">
    <w:name w:val="WW8Num1z0"/>
    <w:qFormat/>
    <w:rPr>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MemoHeading">
    <w:name w:val="MemoHeading"/>
    <w:basedOn w:val="DefaultParagraphFont"/>
    <w:qFormat/>
    <w:rPr>
      <w:rFonts w:ascii="Arial" w:hAnsi="Arial" w:cs="Arial"/>
      <w:smallCaps/>
      <w:sz w:val="22"/>
    </w:rPr>
  </w:style>
  <w:style w:type="paragraph" w:styleId="Heading">
    <w:name w:val="Heading"/>
    <w:basedOn w:val="Normal"/>
    <w:next w:val="BodyText"/>
    <w:qFormat/>
    <w:pPr>
      <w:jc w:val="center"/>
    </w:pPr>
    <w:rPr>
      <w:rFonts w:ascii="Univers" w:hAnsi="Univers" w:cs="Univers"/>
      <w:smallCaps/>
      <w:spacing w:val="30"/>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MemoDate">
    <w:name w:val="MemoDate"/>
    <w:basedOn w:val="Normal"/>
    <w:qFormat/>
    <w:pPr>
      <w:tabs>
        <w:tab w:val="clear" w:pos="720"/>
        <w:tab w:val="left" w:pos="1440" w:leader="none"/>
      </w:tabs>
      <w:spacing w:before="1920" w:after="240"/>
      <w:ind w:hanging="1440" w:start="1440" w:end="0"/>
      <w:jc w:val="center"/>
    </w:pPr>
    <w:rPr/>
  </w:style>
  <w:style w:type="paragraph" w:styleId="ccLine">
    <w:name w:val="ccLine"/>
    <w:basedOn w:val="Normal"/>
    <w:qFormat/>
    <w:pPr>
      <w:tabs>
        <w:tab w:val="clear" w:pos="720"/>
        <w:tab w:val="left" w:pos="1440" w:leader="none"/>
      </w:tabs>
      <w:ind w:hanging="0" w:start="1440" w:end="0"/>
    </w:pPr>
    <w:rPr/>
  </w:style>
  <w:style w:type="paragraph" w:styleId="BodyTextIndent">
    <w:name w:val="Body Text Indent"/>
    <w:basedOn w:val="Normal"/>
    <w:pPr>
      <w:spacing w:before="0" w:after="240"/>
      <w:ind w:firstLine="1440" w:start="0" w:end="0"/>
    </w:pPr>
    <w:rPr/>
  </w:style>
  <w:style w:type="paragraph" w:styleId="TopHeading">
    <w:name w:val="Top Heading"/>
    <w:basedOn w:val="Normal"/>
    <w:qFormat/>
    <w:pPr>
      <w:tabs>
        <w:tab w:val="clear" w:pos="720"/>
        <w:tab w:val="left" w:pos="1440" w:leader="none"/>
      </w:tabs>
      <w:spacing w:before="240" w:after="0"/>
      <w:ind w:hanging="1440" w:start="1440" w:end="0"/>
    </w:pPr>
    <w:rPr/>
  </w:style>
  <w:style w:type="paragraph" w:styleId="RE">
    <w:name w:val="RE"/>
    <w:basedOn w:val="TopHeading"/>
    <w:qFormat/>
    <w:pPr>
      <w:spacing w:before="240" w:after="240"/>
    </w:pPr>
    <w:rPr/>
  </w:style>
  <w:style w:type="paragraph" w:styleId="Header">
    <w:name w:val="header"/>
    <w:basedOn w:val="Normal"/>
    <w:pPr>
      <w:tabs>
        <w:tab w:val="clear" w:pos="720"/>
        <w:tab w:val="center" w:pos="4320" w:leader="none"/>
        <w:tab w:val="right" w:pos="8640" w:leader="none"/>
      </w:tabs>
    </w:pPr>
    <w:rPr/>
  </w:style>
  <w:style w:type="paragraph" w:styleId="ccend">
    <w:name w:val="ccend"/>
    <w:basedOn w:val="BodyTextIndent"/>
    <w:qFormat/>
    <w:pPr>
      <w:spacing w:before="0" w:after="0"/>
      <w:ind w:hanging="0" w:start="720" w:end="0"/>
    </w:pPr>
    <w:rPr/>
  </w:style>
  <w:style w:type="paragraph" w:styleId="BodyText2">
    <w:name w:val="Body Text 2"/>
    <w:basedOn w:val="Normal"/>
    <w:qFormat/>
    <w:pPr>
      <w:jc w:val="both"/>
    </w:pPr>
    <w:rPr/>
  </w:style>
  <w:style w:type="paragraph" w:styleId="CCHeading">
    <w:name w:val="CCHeading"/>
    <w:basedOn w:val="TopHeading"/>
    <w:qFormat/>
    <w:pPr>
      <w:spacing w:before="0" w:after="0"/>
      <w:ind w:hanging="1440" w:start="2880" w:end="0"/>
    </w:pPr>
    <w:rPr/>
  </w:style>
  <w:style w:type="paragraph" w:styleId="MemoHeading1">
    <w:name w:val="Memo Heading"/>
    <w:qFormat/>
    <w:pPr>
      <w:widowControl/>
      <w:bidi w:val="0"/>
      <w:spacing w:before="0" w:after="180"/>
    </w:pPr>
    <w:rPr>
      <w:rFonts w:ascii="Arial" w:hAnsi="Arial" w:eastAsia="Times New Roman" w:cs="Arial"/>
      <w:b/>
      <w:color w:val="auto"/>
      <w:sz w:val="20"/>
      <w:szCs w:val="20"/>
      <w:lang w:val="en-CA" w:eastAsia="zh-CN" w:bidi="hi-IN"/>
    </w:rPr>
  </w:style>
  <w:style w:type="paragraph" w:styleId="BodyText3">
    <w:name w:val="Body Text 3"/>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2001-09-24T12:12:00Z</dcterms:created>
  <dc:creator>IS Department</dc:creator>
  <dc:description/>
  <cp:keywords>DN 168890.1 02618 00310 5/21/2001 7:48:15 AM</cp:keywords>
  <dc:language>en-CA</dc:language>
  <cp:lastModifiedBy>msmith2</cp:lastModifiedBy>
  <cp:lastPrinted>2001-06-15T12:26:00Z</cp:lastPrinted>
  <dcterms:modified xsi:type="dcterms:W3CDTF">2001-09-24T12:12:00Z</dcterms:modified>
  <cp:revision>2</cp:revision>
  <dc:subject/>
  <dc:title>December 13, 2000</dc:title>
</cp:coreProperties>
</file>