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HDD OPTION</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Heating Degree Day Options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Definitons) are used with the meanings given on the website which makes reference to this GTC (the “Website”).</w:t>
      </w:r>
    </w:p>
    <w:p>
      <w:pPr>
        <w:pStyle w:val="Normal"/>
        <w:jc w:val="both"/>
        <w:rPr/>
      </w:pPr>
      <w:r>
        <w:rPr/>
      </w:r>
    </w:p>
    <w:p>
      <w:pPr>
        <w:pStyle w:val="Normal"/>
        <w:jc w:val="both"/>
        <w:rPr/>
      </w:pPr>
      <w:r>
        <w:rPr>
          <w:b/>
        </w:rPr>
        <w:t>2.</w:t>
        <w:tab/>
      </w:r>
      <w:r>
        <w:rPr>
          <w:b/>
          <w:u w:val="single"/>
        </w:rPr>
        <w:t>Terms of Transaction.</w:t>
      </w:r>
      <w:r>
        <w:rPr>
          <w:b/>
        </w:rPr>
        <w:t xml:space="preserve">  </w:t>
      </w:r>
      <w:r>
        <w:rPr/>
        <w:t>The terms of the particular Transaction to which this GTC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Heating Degree Day (“HDD”) Option</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t>The Buyer shall pay the Premium to the Seller two Business Days after this Transaction has been executed.</w:t>
            </w:r>
          </w:p>
          <w:p>
            <w:pPr>
              <w:pStyle w:val="Normal"/>
              <w:jc w:val="both"/>
              <w:rPr/>
            </w:pPr>
            <w:r>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Reporting Agency makes any correction or adjustment to the reported daily high and low temperatures within 95 days of the end of the Calculation Period for any day within the Calculation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Enron if the terms set forth on the Website relevant to the Transaction provide that Counterparty is buying and Counterparty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Counterparty if the terms set forth on the Website relevant to the Transaction provide that Counterparty is buying and Enron if the terms set forth on the Website relevant to the Transaction provide that Counterparty is selling.</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HDD for each day is equal to the greater of (i) the Reference Basis minus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or (ii) zero.  The daily high and low temperatures measured by the Reporting Service and reported by the Reporting Agency shall be rounded to whole numbers prior to the calculation of HDDs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[____________________________] and (iii) if the Reference Weather Station is in Norway, [_____________________________].</w:t>
            </w:r>
          </w:p>
          <w:p>
            <w:pPr>
              <w:pStyle w:val="Normal"/>
              <w:jc w:val="both"/>
              <w:rPr/>
            </w:pPr>
            <w:r>
              <w:rPr/>
            </w:r>
          </w:p>
          <w:p>
            <w:pPr>
              <w:pStyle w:val="Normal"/>
              <w:jc w:val="both"/>
              <w:rPr/>
            </w:pPr>
            <w:r>
              <w:rPr/>
              <w:t>The Reporting Agency shall be the National Climatic Data Center if the Reference Weather Station is in the United States, (ii) [_______________] if the Reference Weather Station is in the United Kingdom and (iii) [________________] if the Reference Weather Station is in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Reporting Agency data is corrected or adjusted within 95 days of the end of the Calculation Period or (ii)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Reproting Agency issues data for the RWS, then the procedures set forth under “Fallback Reference Weather Station(s)” shall be utilized to determine the missing data.</w:t>
            </w:r>
          </w:p>
          <w:p>
            <w:pPr>
              <w:pStyle w:val="Normal"/>
              <w:jc w:val="both"/>
              <w:rPr/>
            </w:pPr>
            <w:r>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expressed as a positive number equal to the difference between (i) the Floating Amount and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if either (A) the Transaction is a Call Option and the Floating Amount is greater than the Strike Amount, or (B) the Transaction is a Put Option and the Strike Amount is greater than the Floating Amount, then the Floating Amount Payer shall pay the Fixed Amount Payer an amount in the Contractual Currency equal to the product of (i) the Notional Amount and (ii) the Strike Amount Differential, which amount shall be due and payable on the applicable Payment Date, </w:t>
            </w:r>
            <w:r>
              <w:rPr>
                <w:b/>
              </w:rPr>
              <w:t>provided, however</w:t>
            </w:r>
            <w:r>
              <w:rPr/>
              <w:t>, that the maximum amount payable by the Floating Amount Payer shall not exceed the Maximum Payout Limit.</w:t>
            </w:r>
          </w:p>
          <w:p>
            <w:pPr>
              <w:pStyle w:val="Normal"/>
              <w:keepNext w:val="true"/>
              <w:keepLines/>
              <w:ind w:start="-3078" w:end="0"/>
              <w:jc w:val="both"/>
              <w:rPr/>
            </w:pPr>
            <w:r>
              <w:rPr/>
            </w:r>
          </w:p>
        </w:tc>
      </w:tr>
    </w:tbl>
    <w:p>
      <w:pPr>
        <w:pStyle w:val="Normal"/>
        <w:jc w:val="both"/>
        <w:rPr/>
      </w:pPr>
      <w:r>
        <w:rPr/>
      </w:r>
    </w:p>
    <w:p>
      <w:pPr>
        <w:pStyle w:val="Normal"/>
        <w:jc w:val="both"/>
        <w:rPr/>
      </w:pPr>
      <w:r>
        <w:rPr/>
        <w:t>3.</w:t>
        <w:tab/>
      </w:r>
      <w:r>
        <w:rPr>
          <w:b/>
          <w:u w:val="single"/>
        </w:rPr>
        <w:t>General</w:t>
      </w:r>
      <w:r>
        <w:rPr>
          <w:b/>
        </w:rPr>
        <w:t>.</w:t>
      </w:r>
      <w:r>
        <w:rPr/>
        <w:t xml:space="preserve">  The Transaction is subject to the terms and conditions of the printed form of the 1992 Master Agreement (Multicurrency-Cross Border) published by ISDA without any schedule (the “ISDA Form”) as modified by this GTC (“ISDA Agreement”).  Each party acknowledges that it has a copy of the ISDA Agreement and it has read and understands the terms and conditions thereof.  In the event of any inconsistency among or between the ISDA Agreement, the Definitions (as defined above), and this GTC, this GTC will govern.  In addition, Enron and Counterparty agree to promptly negotiate in good faith and enter into a master agreement as soon as reasonably possible in the form of the ISDA Agreement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the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t>.  To induce the other to enter into the Transaction, each party represents and warrants to the other that :</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Enron and Counterparty each represent that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 </w:t>
      </w:r>
    </w:p>
    <w:p>
      <w:pPr>
        <w:pStyle w:val="Normal"/>
        <w:jc w:val="both"/>
        <w:rPr/>
      </w:pPr>
      <w:r>
        <w:rPr/>
      </w:r>
    </w:p>
    <w:p>
      <w:pPr>
        <w:pStyle w:val="Normal"/>
        <w:jc w:val="both"/>
        <w:rPr/>
      </w:pPr>
      <w:r>
        <w:rPr/>
        <w:t>7.</w:t>
        <w:tab/>
      </w:r>
      <w:r>
        <w:rPr>
          <w:b/>
          <w:u w:val="single"/>
        </w:rPr>
        <w:t>Confidentiality</w:t>
      </w:r>
      <w:r>
        <w:rPr>
          <w:b/>
        </w:rPr>
        <w:t>.</w:t>
      </w:r>
      <w:r>
        <w:rPr/>
        <w:t xml:space="preserve">  The contents of this GTC, the Transaction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auditors, attorneys, or advisors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9.</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10.</w:t>
        <w:tab/>
      </w:r>
      <w:r>
        <w:rPr>
          <w:b/>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
    </w:p>
    <w:sectPr>
      <w:headerReference w:type="default" r:id="rId2"/>
      <w:footerReference w:type="default" r:id="rId3"/>
      <w:type w:val="nextPage"/>
      <w:pgSz w:w="12240" w:h="15840"/>
      <w:pgMar w:left="1008" w:right="1008" w:gutter="0" w:header="72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b/>
    </w:rPr>
  </w:style>
  <w:style w:type="character" w:styleId="WW8Num11z0">
    <w:name w:val="WW8Num11z0"/>
    <w:qFormat/>
    <w:rPr/>
  </w:style>
  <w:style w:type="character" w:styleId="WW8Num12z0">
    <w:name w:val="WW8Num12z0"/>
    <w:qFormat/>
    <w:rPr/>
  </w:style>
  <w:style w:type="character" w:styleId="WW8Num14z0">
    <w:name w:val="WW8Num14z0"/>
    <w:qFormat/>
    <w:rPr>
      <w:b/>
    </w:rPr>
  </w:style>
  <w:style w:type="character" w:styleId="WW8Num15z0">
    <w:name w:val="WW8Num15z0"/>
    <w:qFormat/>
    <w:rPr>
      <w:b/>
      <w:u w:val="single"/>
    </w:rPr>
  </w:style>
  <w:style w:type="character" w:styleId="WW8Num17z0">
    <w:name w:val="WW8Num17z0"/>
    <w:qFormat/>
    <w:rPr>
      <w:b/>
    </w:rPr>
  </w:style>
  <w:style w:type="character" w:styleId="WW8Num19z0">
    <w:name w:val="WW8Num19z0"/>
    <w:qFormat/>
    <w:rPr/>
  </w:style>
  <w:style w:type="character" w:styleId="WW8Num20z0">
    <w:name w:val="WW8Num20z0"/>
    <w:qFormat/>
    <w:rPr>
      <w:b w:val="false"/>
      <w:u w:val="none"/>
    </w:rPr>
  </w:style>
  <w:style w:type="character" w:styleId="WW8Num21z0">
    <w:name w:val="WW8Num21z0"/>
    <w:qFormat/>
    <w:rPr>
      <w:b/>
      <w:u w:val="singl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b w:val="false"/>
      <w:u w:val="none"/>
    </w:rPr>
  </w:style>
  <w:style w:type="character" w:styleId="WW8Num27z0">
    <w:name w:val="WW8Num27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1999-08-15T15:12:00Z</dcterms:created>
  <dc:creator>ECT</dc:creator>
  <dc:description/>
  <dc:language>en-CA</dc:language>
  <cp:lastModifiedBy>mtaylo1</cp:lastModifiedBy>
  <cp:lastPrinted>1999-08-15T12:35:00Z</cp:lastPrinted>
  <dcterms:modified xsi:type="dcterms:W3CDTF">1999-08-15T17:40:00Z</dcterms:modified>
  <cp:revision>5</cp:revision>
  <dc:subject/>
  <dc:title>“DEEMED ISDA” CONFIRMATION</dc:title>
</cp:coreProperties>
</file>