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kern w:val="0"/>
          <w:sz w:val="36"/>
        </w:rPr>
      </w:pPr>
      <w:r>
        <w:rPr>
          <w:kern w:val="0"/>
          <w:sz w:val="36"/>
        </w:rPr>
        <w:t>HOUSTON COMMITTEE ON FOREIGN RELATIONS</w:t>
      </w:r>
    </w:p>
    <w:p>
      <w:pPr>
        <w:pStyle w:val="TOAHeading"/>
        <w:rPr>
          <w:kern w:val="0"/>
          <w:sz w:val="36"/>
        </w:rPr>
      </w:pPr>
      <w:r>
        <w:rPr>
          <w:kern w:val="0"/>
          <w:sz w:val="36"/>
        </w:rPr>
      </w:r>
    </w:p>
    <w:p>
      <w:pPr>
        <w:pStyle w:val="Normal"/>
        <w:shd w:fill="E5E5E5" w:val="clear"/>
        <w:rPr>
          <w:b/>
        </w:rPr>
      </w:pPr>
      <w:r>
        <w:rPr>
          <w:b/>
        </w:rPr>
        <w:t>Thursday, May 31, 2001</w:t>
      </w:r>
    </w:p>
    <w:p>
      <w:pPr>
        <w:pStyle w:val="Normal"/>
        <w:shd w:fill="E5E5E5" w:val="clear"/>
        <w:rPr/>
      </w:pPr>
      <w:r>
        <w:rPr/>
        <w:t>6:30 p.m. – 9:00 p.m.</w:t>
      </w:r>
    </w:p>
    <w:p>
      <w:pPr>
        <w:pStyle w:val="Normal"/>
        <w:shd w:fill="E5E5E5" w:val="clear"/>
        <w:rPr/>
      </w:pPr>
      <w:r>
        <w:rPr/>
        <w:t>Ballroom, Houston Country Club*</w:t>
      </w:r>
    </w:p>
    <w:p>
      <w:pPr>
        <w:pStyle w:val="Normal"/>
        <w:shd w:fill="E5E5E5" w:val="clear"/>
        <w:rPr>
          <w:sz w:val="22"/>
        </w:rPr>
      </w:pPr>
      <w:r>
        <w:rPr>
          <w:sz w:val="22"/>
        </w:rPr>
      </w:r>
    </w:p>
    <w:p>
      <w:pPr>
        <w:pStyle w:val="Footer"/>
        <w:tabs>
          <w:tab w:val="clear" w:pos="4680"/>
          <w:tab w:val="clear" w:pos="9360"/>
        </w:tabs>
        <w:rPr>
          <w:b/>
          <w:sz w:val="22"/>
        </w:rPr>
      </w:pPr>
      <w:r>
        <w:rPr>
          <w:b/>
          <w:sz w:val="22"/>
        </w:rPr>
      </w:r>
    </w:p>
    <w:p>
      <w:pPr>
        <w:pStyle w:val="Normal"/>
        <w:rPr>
          <w:color w:val="000000"/>
          <w:sz w:val="22"/>
        </w:rPr>
      </w:pPr>
      <w:r>
        <w:rPr>
          <w:color w:val="000000"/>
          <w:sz w:val="22"/>
        </w:rPr>
        <w:t>Our May 31 event will be a Special Spouse/Guest Meeting (business attire) in the Ballroom of the Houston Country Club.</w:t>
      </w:r>
    </w:p>
    <w:p>
      <w:pPr>
        <w:pStyle w:val="Normal"/>
        <w:rPr>
          <w:b/>
          <w:color w:val="000000"/>
          <w:sz w:val="22"/>
        </w:rPr>
      </w:pPr>
      <w:r>
        <w:rPr>
          <w:b/>
          <w:color w:val="000000"/>
          <w:sz w:val="22"/>
        </w:rPr>
      </w:r>
    </w:p>
    <w:p>
      <w:pPr>
        <w:pStyle w:val="Normal"/>
        <w:rPr/>
      </w:pPr>
      <w:r>
        <w:rPr>
          <w:color w:val="000000"/>
          <w:sz w:val="22"/>
        </w:rPr>
        <w:t>Our</w:t>
      </w:r>
      <w:r>
        <w:rPr>
          <w:b/>
          <w:color w:val="000000"/>
          <w:sz w:val="22"/>
        </w:rPr>
        <w:t xml:space="preserve"> </w:t>
      </w:r>
      <w:r>
        <w:rPr>
          <w:color w:val="000000"/>
          <w:sz w:val="22"/>
        </w:rPr>
        <w:t>speaker will be</w:t>
      </w:r>
      <w:r>
        <w:rPr>
          <w:b/>
          <w:color w:val="000000"/>
          <w:sz w:val="22"/>
        </w:rPr>
        <w:t xml:space="preserve"> MARK MOODY-STUART</w:t>
      </w:r>
      <w:r>
        <w:rPr>
          <w:color w:val="000000"/>
          <w:sz w:val="22"/>
        </w:rPr>
        <w:t>, Chairman of The “Shell” Transport and Trading Company and of the Committee of Managing Directors of the Royal Dutch/Shell Group of Companies.</w:t>
      </w:r>
    </w:p>
    <w:p>
      <w:pPr>
        <w:pStyle w:val="Normal"/>
        <w:rPr>
          <w:sz w:val="22"/>
        </w:rPr>
      </w:pPr>
      <w:r>
        <w:rPr>
          <w:sz w:val="22"/>
          <w:lang w:eastAsia="en-US"/>
        </w:rPr>
        <w:t xml:space="preserve">His topic will be  “Making a Sustainable Contribution – The Role of International Energy Companies in Developing Countries”. </w:t>
      </w:r>
    </w:p>
    <w:p>
      <w:pPr>
        <w:pStyle w:val="Normal"/>
        <w:spacing w:before="120" w:after="0"/>
        <w:rPr>
          <w:color w:val="000000"/>
          <w:sz w:val="22"/>
        </w:rPr>
      </w:pPr>
      <w:r>
        <w:rPr>
          <w:color w:val="000000"/>
          <w:sz w:val="22"/>
        </w:rPr>
        <w:t>Mr. Moody-Stuart has been a managing director of Shell Transport and a Group managing director since 1991.  His functional and geographical responsibilities as a Group managing director are Finance, Legal, Human Resources &amp; Organization, the USA and Canada.</w:t>
      </w:r>
    </w:p>
    <w:p>
      <w:pPr>
        <w:pStyle w:val="Normal"/>
        <w:spacing w:before="120" w:after="0"/>
        <w:rPr>
          <w:color w:val="000000"/>
          <w:sz w:val="22"/>
        </w:rPr>
      </w:pPr>
      <w:r>
        <w:rPr>
          <w:color w:val="000000"/>
          <w:sz w:val="22"/>
        </w:rPr>
        <w:t>Mark Moody-Stuart’s whole working life has been with the Group, largely in countries outside Europe. After early practical experience in Spain, Oman, Brunei and Australia, he led Shell UK’s teams exploring for oil and gas in the North Sea in the mid-1970s. He then moved into more general management, working in Asia, Africa, and Europe. As the senior Shell manager in Turkey and then in Malaysia, he was involved in developing Shell businesses in those countries, working with national governments to initiate a number of major projects. In 1990 he returned to Europe to become coordinator of Shell exploration and production operations outside North America in The Hague.</w:t>
      </w:r>
    </w:p>
    <w:p>
      <w:pPr>
        <w:pStyle w:val="Normal"/>
        <w:spacing w:before="120" w:after="0"/>
        <w:rPr>
          <w:color w:val="000000"/>
          <w:sz w:val="22"/>
        </w:rPr>
      </w:pPr>
      <w:r>
        <w:rPr>
          <w:color w:val="000000"/>
          <w:sz w:val="22"/>
        </w:rPr>
        <w:t>Mark Moody-Stuart was born in 1940 in Antigua, West Indies. He holds a doctorate in Geology from Cambridge University. He is married, with four children: three sons, one born in The Netherlands and two in Brunei, and a daughter born in Australia. The family is enthusiastic about sailing.</w:t>
      </w:r>
    </w:p>
    <w:p>
      <w:pPr>
        <w:pStyle w:val="Normal"/>
        <w:spacing w:before="120" w:after="0"/>
        <w:rPr>
          <w:color w:val="000000"/>
          <w:sz w:val="22"/>
        </w:rPr>
      </w:pPr>
      <w:r>
        <w:rPr>
          <w:color w:val="000000"/>
          <w:sz w:val="22"/>
        </w:rPr>
        <w:t>Sir Mark Moody-Stuart became a Knight Commander of the Order of St Michael and St George in June 2000. He is co-chair of the G8 Taskforce on Renewable Energy.</w:t>
      </w:r>
    </w:p>
    <w:p>
      <w:pPr>
        <w:pStyle w:val="Footer"/>
        <w:tabs>
          <w:tab w:val="clear" w:pos="4680"/>
          <w:tab w:val="clear" w:pos="9360"/>
        </w:tabs>
        <w:rPr>
          <w:color w:val="000000"/>
          <w:sz w:val="22"/>
        </w:rPr>
      </w:pPr>
      <w:r>
        <w:rPr>
          <w:color w:val="000000"/>
          <w:sz w:val="22"/>
        </w:rPr>
      </w:r>
    </w:p>
    <w:p>
      <w:pPr>
        <w:pStyle w:val="Heading9"/>
        <w:ind w:hanging="0" w:start="0"/>
        <w:jc w:val="start"/>
        <w:rPr>
          <w:sz w:val="22"/>
        </w:rPr>
      </w:pPr>
      <w:r>
        <w:rPr>
          <w:sz w:val="22"/>
        </w:rPr>
        <w:t>*PLEASE NOTE:</w:t>
      </w:r>
    </w:p>
    <w:p>
      <w:pPr>
        <w:pStyle w:val="Heading9"/>
        <w:ind w:hanging="0" w:start="0"/>
        <w:jc w:val="both"/>
        <w:rPr>
          <w:sz w:val="22"/>
        </w:rPr>
      </w:pPr>
      <w:r>
        <w:rPr>
          <w:sz w:val="22"/>
        </w:rPr>
      </w:r>
    </w:p>
    <w:p>
      <w:pPr>
        <w:pStyle w:val="Heading9"/>
        <w:ind w:hanging="1440" w:start="1440" w:end="0"/>
        <w:jc w:val="start"/>
        <w:rPr>
          <w:sz w:val="22"/>
        </w:rPr>
      </w:pPr>
      <w:r>
        <w:rPr>
          <w:sz w:val="22"/>
        </w:rPr>
        <w:t xml:space="preserve">               </w:t>
      </w:r>
      <w:r>
        <w:rPr>
          <w:sz w:val="22"/>
        </w:rPr>
        <w:t>(1)      This meeting will be held at the Houston Country Club in the Ballroom.  Attire will be business dress.</w:t>
      </w:r>
    </w:p>
    <w:p>
      <w:pPr>
        <w:pStyle w:val="Normal"/>
        <w:ind w:hanging="720" w:start="720" w:end="0"/>
        <w:jc w:val="start"/>
        <w:rPr>
          <w:sz w:val="22"/>
        </w:rPr>
      </w:pPr>
      <w:r>
        <w:rPr>
          <w:sz w:val="22"/>
        </w:rPr>
      </w:r>
    </w:p>
    <w:p>
      <w:pPr>
        <w:pStyle w:val="Normal"/>
        <w:ind w:hanging="1440" w:start="1440" w:end="0"/>
        <w:jc w:val="start"/>
        <w:rPr>
          <w:sz w:val="22"/>
        </w:rPr>
      </w:pPr>
      <w:r>
        <w:rPr>
          <w:b/>
          <w:sz w:val="22"/>
        </w:rPr>
        <w:t xml:space="preserve">               </w:t>
      </w:r>
      <w:r>
        <w:rPr>
          <w:b/>
          <w:sz w:val="22"/>
        </w:rPr>
        <w:t>(2)      This will be a Spouse/Guest Meeting, to which a member may attend with a spouse                      or guest(s).</w:t>
      </w:r>
    </w:p>
    <w:p>
      <w:pPr>
        <w:pStyle w:val="Footer"/>
        <w:tabs>
          <w:tab w:val="clear" w:pos="4680"/>
          <w:tab w:val="clear" w:pos="9360"/>
        </w:tabs>
        <w:rPr/>
      </w:pPr>
      <w:r>
        <w:rPr/>
        <w:tab/>
        <w:tab/>
        <w:tab/>
      </w:r>
    </w:p>
    <w:p>
      <w:pPr>
        <w:pStyle w:val="Normal"/>
        <w:rPr>
          <w:b/>
          <w:u w:val="single"/>
        </w:rPr>
      </w:pPr>
      <w:r>
        <w:rPr>
          <w:b/>
          <w:u w:val="single"/>
        </w:rPr>
      </w:r>
    </w:p>
    <w:p>
      <w:pPr>
        <w:pStyle w:val="Normal"/>
        <w:jc w:val="center"/>
        <w:rPr/>
      </w:pPr>
      <w:r>
        <w:rPr/>
        <w:t xml:space="preserve">PLEASE NOTIFY BY EMAIL OR RETURNING </w:t>
      </w:r>
    </w:p>
    <w:p>
      <w:pPr>
        <w:pStyle w:val="Normal"/>
        <w:jc w:val="center"/>
        <w:rPr/>
      </w:pPr>
      <w:r>
        <w:rPr/>
        <w:t xml:space="preserve">THE ATTACHED </w:t>
      </w:r>
      <w:r>
        <w:rPr>
          <w:b/>
        </w:rPr>
        <w:t>REPLY FORM</w:t>
      </w:r>
      <w:r>
        <w:rPr/>
        <w:t xml:space="preserve"> </w:t>
      </w:r>
    </w:p>
    <w:p>
      <w:pPr>
        <w:pStyle w:val="Normal"/>
        <w:jc w:val="center"/>
        <w:rPr/>
      </w:pPr>
      <w:r>
        <w:rPr/>
        <w:t>BY TUESDAY, MAY 29.</w:t>
      </w:r>
    </w:p>
    <w:p>
      <w:pPr>
        <w:pStyle w:val="Normal"/>
        <w:jc w:val="center"/>
        <w:rPr/>
      </w:pPr>
      <w:r>
        <w:rPr/>
      </w:r>
    </w:p>
    <w:p>
      <w:pPr>
        <w:pStyle w:val="Normal"/>
        <w:ind w:firstLine="720" w:start="5040" w:end="0"/>
        <w:rPr/>
      </w:pPr>
      <w:r>
        <w:rPr/>
        <w:t xml:space="preserve">Mont P. Hoyt </w:t>
      </w:r>
    </w:p>
    <w:p>
      <w:pPr>
        <w:pStyle w:val="Normal"/>
        <w:ind w:firstLine="720" w:start="5040" w:end="0"/>
        <w:jc w:val="start"/>
        <w:rPr/>
      </w:pPr>
      <w:r>
        <w:rPr/>
        <w:t>Secretary/Rapporteur</w:t>
      </w:r>
    </w:p>
    <w:p>
      <w:pPr>
        <w:pStyle w:val="Normal"/>
        <w:jc w:val="center"/>
        <w:rPr/>
      </w:pPr>
      <w:r>
        <w:rPr/>
      </w:r>
    </w:p>
    <w:p>
      <w:pPr>
        <w:pStyle w:val="Normal"/>
        <w:pBdr>
          <w:top w:val="single" w:sz="12" w:space="1" w:color="000000"/>
          <w:bottom w:val="single" w:sz="12" w:space="1" w:color="000000"/>
        </w:pBdr>
        <w:spacing w:lineRule="exact" w:line="20"/>
        <w:jc w:val="start"/>
        <w:rPr/>
      </w:pPr>
      <w:r>
        <w:rPr/>
      </w:r>
    </w:p>
    <w:p>
      <w:pPr>
        <w:pStyle w:val="Normal"/>
        <w:jc w:val="center"/>
        <w:rPr>
          <w:b/>
        </w:rPr>
      </w:pPr>
      <w:r>
        <w:rPr>
          <w:b/>
        </w:rPr>
      </w:r>
    </w:p>
    <w:p>
      <w:pPr>
        <w:pStyle w:val="Normal"/>
        <w:jc w:val="center"/>
        <w:rPr>
          <w:b/>
        </w:rPr>
      </w:pPr>
      <w:r>
        <w:rPr>
          <w:b/>
        </w:rPr>
      </w:r>
    </w:p>
    <w:p>
      <w:pPr>
        <w:pStyle w:val="Normal"/>
        <w:jc w:val="center"/>
        <w:rPr>
          <w:b/>
        </w:rPr>
      </w:pPr>
      <w:r>
        <w:rPr>
          <w:b/>
        </w:rPr>
        <w:t>Houston Committee on Foreign Relations</w:t>
      </w:r>
    </w:p>
    <w:p>
      <w:pPr>
        <w:pStyle w:val="Normal"/>
        <w:jc w:val="center"/>
        <w:rPr>
          <w:b/>
        </w:rPr>
      </w:pPr>
      <w:r>
        <w:rPr>
          <w:b/>
        </w:rPr>
        <w:t>Response Card</w:t>
      </w:r>
    </w:p>
    <w:p>
      <w:pPr>
        <w:pStyle w:val="Normal"/>
        <w:rPr>
          <w:b/>
        </w:rPr>
      </w:pPr>
      <w:r>
        <w:rPr>
          <w:b/>
        </w:rPr>
      </w:r>
    </w:p>
    <w:p>
      <w:pPr>
        <w:pStyle w:val="Normal"/>
        <w:rPr>
          <w:b/>
        </w:rPr>
      </w:pPr>
      <w:r>
        <w:rPr>
          <w:b/>
        </w:rPr>
      </w:r>
    </w:p>
    <w:p>
      <w:pPr>
        <w:pStyle w:val="Normal"/>
        <w:rPr>
          <w:b/>
        </w:rPr>
      </w:pPr>
      <w:r>
        <w:rPr>
          <w:b/>
        </w:rPr>
        <w:tab/>
        <w:tab/>
        <w:t>Houston Committee on</w:t>
      </w:r>
    </w:p>
    <w:p>
      <w:pPr>
        <w:pStyle w:val="Normal"/>
        <w:rPr>
          <w:b/>
        </w:rPr>
      </w:pPr>
      <w:r>
        <w:rPr>
          <w:b/>
        </w:rPr>
        <w:tab/>
        <w:tab/>
        <w:t>Foreign Relations</w:t>
      </w:r>
    </w:p>
    <w:p>
      <w:pPr>
        <w:pStyle w:val="Normal"/>
        <w:rPr>
          <w:b/>
        </w:rPr>
      </w:pPr>
      <w:r>
        <w:rPr>
          <w:b/>
        </w:rPr>
      </w:r>
    </w:p>
    <w:p>
      <w:pPr>
        <w:pStyle w:val="Normal"/>
        <w:tabs>
          <w:tab w:val="left" w:pos="720" w:leader="none"/>
          <w:tab w:val="left" w:pos="1440" w:leader="none"/>
          <w:tab w:val="left" w:pos="2160" w:leader="none"/>
          <w:tab w:val="left" w:pos="2880" w:leader="none"/>
          <w:tab w:val="left" w:pos="3600" w:leader="none"/>
        </w:tabs>
        <w:ind w:hanging="3600" w:start="3600" w:end="0"/>
        <w:rPr/>
      </w:pPr>
      <w:r>
        <w:rPr>
          <w:b/>
        </w:rPr>
        <w:tab/>
        <w:tab/>
        <w:tab/>
        <w:tab/>
        <w:tab/>
      </w:r>
      <w:r>
        <w:rPr>
          <w:b/>
          <w:sz w:val="40"/>
        </w:rPr>
        <w:t>MAY 31, 2001</w:t>
      </w:r>
    </w:p>
    <w:p>
      <w:pPr>
        <w:pStyle w:val="Normal"/>
        <w:jc w:val="center"/>
        <w:rPr>
          <w:b/>
          <w:sz w:val="40"/>
        </w:rPr>
      </w:pPr>
      <w:r>
        <w:rPr>
          <w:b/>
          <w:sz w:val="40"/>
        </w:rPr>
        <w:t xml:space="preserve">  </w:t>
      </w:r>
      <w:r>
        <w:rPr>
          <w:b/>
          <w:sz w:val="40"/>
        </w:rPr>
        <w:t>______________________</w:t>
      </w:r>
    </w:p>
    <w:p>
      <w:pPr>
        <w:pStyle w:val="Normal"/>
        <w:rPr>
          <w:b/>
        </w:rPr>
      </w:pPr>
      <w:r>
        <w:rPr>
          <w:b/>
        </w:rPr>
        <w:tab/>
        <w:tab/>
        <w:tab/>
        <w:tab/>
        <w:tab/>
        <w:t xml:space="preserve">       Meeting Date</w:t>
      </w:r>
    </w:p>
    <w:p>
      <w:pPr>
        <w:pStyle w:val="Normal"/>
        <w:rPr>
          <w:b/>
        </w:rPr>
      </w:pPr>
      <w:r>
        <w:rPr>
          <w:b/>
        </w:rPr>
      </w:r>
    </w:p>
    <w:p>
      <w:pPr>
        <w:pStyle w:val="Normal"/>
        <w:tabs>
          <w:tab w:val="left" w:pos="720" w:leader="none"/>
          <w:tab w:val="left" w:pos="1440" w:leader="none"/>
          <w:tab w:val="left" w:pos="2160" w:leader="none"/>
        </w:tabs>
        <w:ind w:hanging="2160" w:start="2160" w:end="0"/>
        <w:rPr/>
      </w:pPr>
      <w:r>
        <w:rPr>
          <w:b/>
        </w:rPr>
        <w:tab/>
        <w:tab/>
      </w:r>
      <w:r>
        <w:rPr>
          <w:rFonts w:cs="WP MathA" w:ascii="WP MathA" w:hAnsi="WP MathA"/>
          <w:b/>
        </w:rPr>
        <w:sym w:font="WP MathA" w:char="f07e"/>
      </w:r>
      <w:r>
        <w:rPr>
          <w:b/>
        </w:rPr>
        <w:tab/>
        <w:t>I shall attend</w:t>
      </w:r>
    </w:p>
    <w:p>
      <w:pPr>
        <w:pStyle w:val="Normal"/>
        <w:rPr>
          <w:b/>
        </w:rPr>
      </w:pPr>
      <w:r>
        <w:rPr>
          <w:b/>
        </w:rPr>
      </w:r>
    </w:p>
    <w:p>
      <w:pPr>
        <w:pStyle w:val="Normal"/>
        <w:numPr>
          <w:ilvl w:val="0"/>
          <w:numId w:val="2"/>
        </w:numPr>
        <w:tabs>
          <w:tab w:val="left" w:pos="720" w:leader="none"/>
          <w:tab w:val="left" w:pos="1440" w:leader="none"/>
        </w:tabs>
        <w:rPr>
          <w:b/>
        </w:rPr>
      </w:pPr>
      <w:r>
        <w:rPr>
          <w:b/>
        </w:rPr>
        <w:t>I shall not attend</w:t>
      </w:r>
    </w:p>
    <w:p>
      <w:pPr>
        <w:pStyle w:val="Normal"/>
        <w:tabs>
          <w:tab w:val="left" w:pos="720" w:leader="none"/>
          <w:tab w:val="left" w:pos="1440" w:leader="none"/>
          <w:tab w:val="left" w:pos="2160" w:leader="none"/>
        </w:tabs>
        <w:rPr>
          <w:b/>
        </w:rPr>
      </w:pPr>
      <w:r>
        <w:rPr>
          <w:b/>
        </w:rPr>
      </w:r>
    </w:p>
    <w:p>
      <w:pPr>
        <w:pStyle w:val="Normal"/>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8640" w:start="8640" w:end="0"/>
        <w:rPr/>
      </w:pPr>
      <w:r>
        <w:rPr>
          <w:b/>
        </w:rPr>
        <w:tab/>
        <w:tab/>
        <w:t>Name:</w:t>
      </w:r>
      <w:r>
        <w:rPr/>
        <w:t xml:space="preserve">  </w:t>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0" w:start="8640" w:end="0"/>
        <w:rPr>
          <w:b/>
        </w:rPr>
      </w:pPr>
      <w:r>
        <w:rPr>
          <w:b/>
        </w:rPr>
        <w:t xml:space="preserve">Guest:  </w:t>
      </w:r>
    </w:p>
    <w:p>
      <w:pPr>
        <w:pStyle w:val="Normal"/>
        <w:spacing w:lineRule="auto" w:line="120"/>
        <w:jc w:val="start"/>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end"/>
      <w:rPr>
        <w:sz w:val="16"/>
      </w:rPr>
    </w:pPr>
    <w:r>
      <w:rPr>
        <w:sz w:val="16"/>
      </w:rPr>
      <w:t>95480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720"/>
      </w:pPr>
      <w:rPr>
        <w:rFonts w:ascii="WP MathA" w:hAnsi="WP MathA" w:cs="WP MathA"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start"/>
      <w:outlineLvl w:val="0"/>
    </w:pPr>
    <w:rPr>
      <w:b/>
      <w:kern w:val="2"/>
      <w:sz w:val="28"/>
    </w:rPr>
  </w:style>
  <w:style w:type="paragraph" w:styleId="Heading2">
    <w:name w:val="heading 2"/>
    <w:basedOn w:val="Normal"/>
    <w:next w:val="Normal"/>
    <w:qFormat/>
    <w:pPr>
      <w:keepNext w:val="true"/>
      <w:numPr>
        <w:ilvl w:val="1"/>
        <w:numId w:val="1"/>
      </w:numPr>
      <w:jc w:val="start"/>
      <w:outlineLvl w:val="1"/>
    </w:pPr>
    <w:rPr>
      <w:b/>
      <w:i/>
    </w:rPr>
  </w:style>
  <w:style w:type="paragraph" w:styleId="Heading3">
    <w:name w:val="heading 3"/>
    <w:basedOn w:val="Normal"/>
    <w:next w:val="Normal"/>
    <w:qFormat/>
    <w:pPr>
      <w:keepNext w:val="true"/>
      <w:numPr>
        <w:ilvl w:val="2"/>
        <w:numId w:val="1"/>
      </w:numPr>
      <w:jc w:val="start"/>
      <w:outlineLvl w:val="2"/>
    </w:pPr>
    <w:rPr/>
  </w:style>
  <w:style w:type="paragraph" w:styleId="Heading4">
    <w:name w:val="heading 4"/>
    <w:basedOn w:val="Normal"/>
    <w:next w:val="Normal"/>
    <w:qFormat/>
    <w:pPr>
      <w:keepNext w:val="true"/>
      <w:numPr>
        <w:ilvl w:val="3"/>
        <w:numId w:val="1"/>
      </w:numPr>
      <w:jc w:val="start"/>
      <w:outlineLvl w:val="3"/>
    </w:pPr>
    <w:rPr>
      <w:b/>
    </w:rPr>
  </w:style>
  <w:style w:type="paragraph" w:styleId="Heading5">
    <w:name w:val="heading 5"/>
    <w:basedOn w:val="Normal"/>
    <w:next w:val="Normal"/>
    <w:qFormat/>
    <w:pPr>
      <w:numPr>
        <w:ilvl w:val="4"/>
        <w:numId w:val="1"/>
      </w:numPr>
      <w:jc w:val="start"/>
      <w:outlineLvl w:val="4"/>
    </w:pPr>
    <w:rPr>
      <w:sz w:val="22"/>
    </w:rPr>
  </w:style>
  <w:style w:type="paragraph" w:styleId="Heading6">
    <w:name w:val="heading 6"/>
    <w:basedOn w:val="Normal"/>
    <w:next w:val="Normal"/>
    <w:qFormat/>
    <w:pPr>
      <w:numPr>
        <w:ilvl w:val="5"/>
        <w:numId w:val="1"/>
      </w:numPr>
      <w:jc w:val="start"/>
      <w:outlineLvl w:val="5"/>
    </w:pPr>
    <w:rPr>
      <w:i/>
      <w:sz w:val="22"/>
    </w:rPr>
  </w:style>
  <w:style w:type="paragraph" w:styleId="Heading7">
    <w:name w:val="heading 7"/>
    <w:basedOn w:val="Normal"/>
    <w:next w:val="Normal"/>
    <w:qFormat/>
    <w:pPr>
      <w:numPr>
        <w:ilvl w:val="6"/>
        <w:numId w:val="1"/>
      </w:numPr>
      <w:jc w:val="start"/>
      <w:outlineLvl w:val="6"/>
    </w:pPr>
    <w:rPr>
      <w:sz w:val="20"/>
    </w:rPr>
  </w:style>
  <w:style w:type="paragraph" w:styleId="Heading8">
    <w:name w:val="heading 8"/>
    <w:basedOn w:val="Normal"/>
    <w:next w:val="Normal"/>
    <w:qFormat/>
    <w:pPr>
      <w:keepNext w:val="true"/>
      <w:numPr>
        <w:ilvl w:val="7"/>
        <w:numId w:val="1"/>
      </w:numPr>
      <w:shd w:fill="E5E5E5" w:val="clear"/>
      <w:outlineLvl w:val="7"/>
    </w:pPr>
    <w:rPr>
      <w:b/>
      <w:sz w:val="22"/>
    </w:rPr>
  </w:style>
  <w:style w:type="paragraph" w:styleId="Heading9">
    <w:name w:val="heading 9"/>
    <w:basedOn w:val="Normal"/>
    <w:next w:val="Normal"/>
    <w:qFormat/>
    <w:pPr>
      <w:keepNext w:val="true"/>
      <w:numPr>
        <w:ilvl w:val="8"/>
        <w:numId w:val="1"/>
      </w:numPr>
      <w:jc w:val="center"/>
      <w:outlineLvl w:val="8"/>
    </w:pPr>
    <w:rPr>
      <w:b/>
    </w:rPr>
  </w:style>
  <w:style w:type="character" w:styleId="WW8Num1z0">
    <w:name w:val="WW8Num1z0"/>
    <w:qFormat/>
    <w:rPr>
      <w:rFonts w:ascii="WP MathA" w:hAnsi="WP MathA" w:cs="WP MathA"/>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jc w:val="start"/>
    </w:pPr>
    <w:rPr>
      <w:sz w:val="20"/>
    </w:rPr>
  </w:style>
  <w:style w:type="paragraph" w:styleId="List">
    <w:name w:val="List"/>
    <w:basedOn w:val="BodyText"/>
    <w:pPr/>
    <w:rPr>
      <w:rFonts w:cs="NotoSans NF"/>
    </w:rPr>
  </w:style>
  <w:style w:type="paragraph" w:styleId="Caption">
    <w:name w:val="caption"/>
    <w:basedOn w:val="Normal"/>
    <w:next w:val="Normal"/>
    <w:qFormat/>
    <w:pPr>
      <w:jc w:val="start"/>
    </w:pPr>
    <w:rPr>
      <w:b/>
      <w:sz w:val="20"/>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1440"/>
      <w:jc w:val="start"/>
    </w:pPr>
    <w:rPr>
      <w:sz w:val="20"/>
    </w:rPr>
  </w:style>
  <w:style w:type="paragraph" w:styleId="BodyText2">
    <w:name w:val="Body Text 2"/>
    <w:basedOn w:val="Normal"/>
    <w:qFormat/>
    <w:pPr>
      <w:spacing w:lineRule="auto" w:line="480"/>
      <w:jc w:val="start"/>
    </w:pPr>
    <w:rPr>
      <w:sz w:val="20"/>
    </w:rPr>
  </w:style>
  <w:style w:type="paragraph" w:styleId="BodyText3">
    <w:name w:val="Body Text 3"/>
    <w:basedOn w:val="Normal"/>
    <w:qFormat/>
    <w:pPr>
      <w:jc w:val="start"/>
    </w:pPr>
    <w:rPr>
      <w:sz w:val="16"/>
    </w:rPr>
  </w:style>
  <w:style w:type="paragraph" w:styleId="BodyTextFirstIndent">
    <w:name w:val="Body Text First Indent"/>
    <w:basedOn w:val="BodyText"/>
    <w:qFormat/>
    <w:pPr>
      <w:ind w:firstLine="216" w:start="0" w:end="0"/>
    </w:pPr>
    <w:rPr/>
  </w:style>
  <w:style w:type="paragraph" w:styleId="BodyTextIndent">
    <w:name w:val="Body Text Indent"/>
    <w:basedOn w:val="Normal"/>
    <w:pPr>
      <w:ind w:hanging="0" w:start="360" w:end="0"/>
      <w:jc w:val="start"/>
    </w:pPr>
    <w:rPr>
      <w:sz w:val="20"/>
    </w:rPr>
  </w:style>
  <w:style w:type="paragraph" w:styleId="BodyTextFirstIndent2">
    <w:name w:val="Body Text First Indent 2"/>
    <w:basedOn w:val="BodyTextIndent"/>
    <w:qFormat/>
    <w:pPr>
      <w:spacing w:before="0" w:after="0"/>
      <w:ind w:firstLine="216" w:start="360" w:end="0"/>
      <w:jc w:val="start"/>
    </w:pPr>
    <w:rPr>
      <w:sz w:val="20"/>
    </w:rPr>
  </w:style>
  <w:style w:type="paragraph" w:styleId="BodyTextIndent2">
    <w:name w:val="Body Text Indent 2"/>
    <w:basedOn w:val="Normal"/>
    <w:qFormat/>
    <w:pPr>
      <w:spacing w:lineRule="auto" w:line="480"/>
      <w:ind w:hanging="0" w:start="360" w:end="0"/>
      <w:jc w:val="start"/>
    </w:pPr>
    <w:rPr>
      <w:sz w:val="20"/>
    </w:rPr>
  </w:style>
  <w:style w:type="paragraph" w:styleId="BodyTextIndent3">
    <w:name w:val="Body Text Indent 3"/>
    <w:basedOn w:val="Normal"/>
    <w:qFormat/>
    <w:pPr>
      <w:ind w:hanging="0" w:start="360" w:end="0"/>
      <w:jc w:val="start"/>
    </w:pPr>
    <w:rPr>
      <w:sz w:val="16"/>
    </w:rPr>
  </w:style>
  <w:style w:type="paragraph" w:styleId="EnvelopeAddress">
    <w:name w:val="envelope address"/>
    <w:basedOn w:val="Normal"/>
    <w:pPr>
      <w:ind w:hanging="0" w:start="2880" w:end="0"/>
      <w:jc w:val="start"/>
    </w:pPr>
    <w:rPr/>
  </w:style>
  <w:style w:type="paragraph" w:styleId="EnvelopeReturn">
    <w:name w:val="envelope return"/>
    <w:basedOn w:val="Normal"/>
    <w:pPr>
      <w:jc w:val="star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jc w:val="start"/>
    </w:pPr>
    <w:rPr>
      <w:b/>
      <w:sz w:val="20"/>
    </w:rPr>
  </w:style>
  <w:style w:type="paragraph" w:styleId="ListContinue">
    <w:name w:val="List Continue"/>
    <w:basedOn w:val="Normal"/>
    <w:qFormat/>
    <w:pPr>
      <w:spacing w:before="0" w:after="120"/>
      <w:ind w:hanging="0" w:start="360" w:end="0"/>
      <w:jc w:val="start"/>
    </w:pPr>
    <w:rPr>
      <w:sz w:val="20"/>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start"/>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rPr>
      <w:b/>
    </w:rPr>
  </w:style>
  <w:style w:type="paragraph" w:styleId="TOC1">
    <w:name w:val="toc 1"/>
    <w:basedOn w:val="Normal"/>
    <w:next w:val="Normal"/>
    <w:pPr>
      <w:tabs>
        <w:tab w:val="left" w:pos="720" w:leader="none"/>
        <w:tab w:val="right" w:pos="9000" w:leader="dot"/>
        <w:tab w:val="right" w:pos="9360" w:leader="none"/>
      </w:tabs>
    </w:pPr>
    <w:rPr/>
  </w:style>
  <w:style w:type="paragraph" w:styleId="TOC2">
    <w:name w:val="toc 2"/>
    <w:basedOn w:val="Normal"/>
    <w:next w:val="Normal"/>
    <w:pPr>
      <w:tabs>
        <w:tab w:val="clear" w:pos="720"/>
        <w:tab w:val="left" w:pos="1440" w:leader="none"/>
        <w:tab w:val="right" w:pos="9000" w:leader="dot"/>
        <w:tab w:val="right" w:pos="9360" w:leader="none"/>
      </w:tabs>
      <w:ind w:hanging="0" w:start="720" w:end="0"/>
    </w:pPr>
    <w:rPr/>
  </w:style>
  <w:style w:type="paragraph" w:styleId="TOC3">
    <w:name w:val="toc 3"/>
    <w:basedOn w:val="Normal"/>
    <w:next w:val="Normal"/>
    <w:pPr>
      <w:tabs>
        <w:tab w:val="clear" w:pos="720"/>
        <w:tab w:val="left" w:pos="2160" w:leader="none"/>
        <w:tab w:val="right" w:pos="9000" w:leader="dot"/>
        <w:tab w:val="right" w:pos="9360" w:leader="none"/>
      </w:tabs>
      <w:ind w:hanging="0" w:start="1440" w:end="0"/>
    </w:pPr>
    <w:rPr/>
  </w:style>
  <w:style w:type="paragraph" w:styleId="TOC4">
    <w:name w:val="toc 4"/>
    <w:basedOn w:val="Normal"/>
    <w:next w:val="Normal"/>
    <w:pPr>
      <w:tabs>
        <w:tab w:val="clear" w:pos="720"/>
        <w:tab w:val="left" w:pos="2880" w:leader="none"/>
        <w:tab w:val="right" w:pos="9000" w:leader="dot"/>
        <w:tab w:val="right" w:pos="9360" w:leader="none"/>
      </w:tabs>
      <w:ind w:hanging="0" w:start="2160" w:end="0"/>
    </w:pPr>
    <w:rPr/>
  </w:style>
  <w:style w:type="paragraph" w:styleId="TOC5">
    <w:name w:val="toc 5"/>
    <w:basedOn w:val="Normal"/>
    <w:next w:val="Normal"/>
    <w:pPr>
      <w:tabs>
        <w:tab w:val="clear" w:pos="720"/>
        <w:tab w:val="left" w:pos="3600" w:leader="none"/>
        <w:tab w:val="right" w:pos="9000" w:leader="dot"/>
        <w:tab w:val="right" w:pos="9360" w:leader="none"/>
      </w:tabs>
      <w:ind w:hanging="0" w:start="2880" w:end="0"/>
    </w:pPr>
    <w:rPr/>
  </w:style>
  <w:style w:type="paragraph" w:styleId="TOC6">
    <w:name w:val="toc 6"/>
    <w:basedOn w:val="Normal"/>
    <w:next w:val="Normal"/>
    <w:pPr>
      <w:tabs>
        <w:tab w:val="clear" w:pos="720"/>
        <w:tab w:val="left" w:pos="4320" w:leader="none"/>
        <w:tab w:val="right" w:pos="9000" w:leader="dot"/>
        <w:tab w:val="right" w:pos="9360" w:leader="none"/>
      </w:tabs>
      <w:ind w:hanging="0" w:start="3600" w:end="0"/>
    </w:pPr>
    <w:rPr/>
  </w:style>
  <w:style w:type="paragraph" w:styleId="TOC7">
    <w:name w:val="toc 7"/>
    <w:basedOn w:val="Normal"/>
    <w:next w:val="Normal"/>
    <w:pPr>
      <w:tabs>
        <w:tab w:val="clear" w:pos="720"/>
        <w:tab w:val="left" w:pos="5040" w:leader="none"/>
        <w:tab w:val="right" w:pos="9000" w:leader="dot"/>
        <w:tab w:val="right" w:pos="9360" w:leader="none"/>
      </w:tabs>
      <w:ind w:hanging="0" w:start="4320" w:end="0"/>
    </w:pPr>
    <w:rPr/>
  </w:style>
  <w:style w:type="paragraph" w:styleId="TOC8">
    <w:name w:val="toc 8"/>
    <w:basedOn w:val="Normal"/>
    <w:next w:val="Normal"/>
    <w:pPr>
      <w:tabs>
        <w:tab w:val="clear" w:pos="720"/>
        <w:tab w:val="left" w:pos="5760" w:leader="none"/>
        <w:tab w:val="right" w:pos="9000" w:leader="dot"/>
        <w:tab w:val="right" w:pos="9360" w:leader="none"/>
      </w:tabs>
      <w:ind w:hanging="0" w:start="5040" w:end="0"/>
    </w:pPr>
    <w:rPr/>
  </w:style>
  <w:style w:type="paragraph" w:styleId="TOC9">
    <w:name w:val="toc 9"/>
    <w:basedOn w:val="Normal"/>
    <w:next w:val="Normal"/>
    <w:pPr>
      <w:tabs>
        <w:tab w:val="clear" w:pos="720"/>
        <w:tab w:val="left" w:pos="6480" w:leader="none"/>
        <w:tab w:val="right" w:pos="9000" w:leader="dot"/>
        <w:tab w:val="right" w:pos="9360" w:leader="none"/>
      </w:tabs>
      <w:ind w:hanging="0" w:start="5760" w:end="0"/>
    </w:pPr>
    <w:rPr/>
  </w:style>
  <w:style w:type="paragraph" w:styleId="FootnoteText">
    <w:name w:val="footnote text"/>
    <w:basedOn w:val="Normal"/>
    <w:pPr>
      <w:ind w:hanging="720" w:start="720" w:end="0"/>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2001-05-22T12:22:00Z</dcterms:created>
  <dc:creator>TSONE</dc:creator>
  <dc:description/>
  <dc:language>en-CA</dc:language>
  <cp:lastModifiedBy>SHB</cp:lastModifiedBy>
  <cp:lastPrinted>2001-05-21T13:55:00Z</cp:lastPrinted>
  <dcterms:modified xsi:type="dcterms:W3CDTF">2001-05-22T12:31:00Z</dcterms:modified>
  <cp:revision>3</cp:revision>
  <dc:subject/>
  <dc:title>On May 24, Council in Foreign Relations, Senior Fellow Bruce Stokes and Dr</dc:title>
</cp:coreProperties>
</file>