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Times New Roman" w:hAnsi="Times New Roman" w:cs="Times New Roman"/>
          <w:sz w:val="25"/>
        </w:rPr>
      </w:pPr>
      <w:r>
        <w:rPr>
          <w:rFonts w:cs="Times New Roman" w:ascii="Times New Roman" w:hAnsi="Times New Roman"/>
          <w:sz w:val="25"/>
        </w:rPr>
        <w:t>STATE OF NORTH CAROLINA</w:t>
      </w:r>
    </w:p>
    <w:p>
      <w:pPr>
        <w:pStyle w:val="Heading"/>
        <w:rPr>
          <w:rFonts w:ascii="Times New Roman" w:hAnsi="Times New Roman" w:cs="Times New Roman"/>
          <w:sz w:val="25"/>
        </w:rPr>
      </w:pPr>
      <w:r>
        <w:rPr>
          <w:rFonts w:cs="Times New Roman" w:ascii="Times New Roman" w:hAnsi="Times New Roman"/>
          <w:sz w:val="25"/>
        </w:rPr>
        <w:t>UTILITIES COMMISSION</w:t>
      </w:r>
    </w:p>
    <w:p>
      <w:pPr>
        <w:pStyle w:val="Heading"/>
        <w:rPr>
          <w:rFonts w:ascii="Times New Roman" w:hAnsi="Times New Roman" w:cs="Times New Roman"/>
          <w:sz w:val="25"/>
        </w:rPr>
      </w:pPr>
      <w:r>
        <w:rPr>
          <w:rFonts w:cs="Times New Roman" w:ascii="Times New Roman" w:hAnsi="Times New Roman"/>
          <w:sz w:val="25"/>
        </w:rPr>
        <w:t>RALEIGH</w:t>
      </w:r>
    </w:p>
    <w:p>
      <w:pPr>
        <w:pStyle w:val="Heading"/>
        <w:rPr>
          <w:rFonts w:ascii="Times New Roman" w:hAnsi="Times New Roman" w:cs="Times New Roman"/>
          <w:sz w:val="25"/>
        </w:rPr>
      </w:pPr>
      <w:r>
        <w:rPr>
          <w:rFonts w:cs="Times New Roman" w:ascii="Times New Roman" w:hAnsi="Times New Roman"/>
          <w:sz w:val="25"/>
        </w:rPr>
      </w:r>
    </w:p>
    <w:p>
      <w:pPr>
        <w:pStyle w:val="Normal"/>
        <w:jc w:val="center"/>
        <w:rPr/>
      </w:pPr>
      <w:r>
        <w:rPr/>
        <w:t>DOCKET NO. E-58</w:t>
      </w:r>
    </w:p>
    <w:p>
      <w:pPr>
        <w:pStyle w:val="Normal"/>
        <w:jc w:val="center"/>
        <w:rPr/>
      </w:pPr>
      <w:r>
        <w:rPr/>
      </w:r>
    </w:p>
    <w:p>
      <w:pPr>
        <w:pStyle w:val="Normal"/>
        <w:rPr/>
      </w:pPr>
      <w:r>
        <w:rPr/>
        <w:t>BEFORE THE NORTH CAROLINA UTILITIES COMMISSION</w:t>
      </w:r>
    </w:p>
    <w:p>
      <w:pPr>
        <w:pStyle w:val="Normal"/>
        <w:rPr/>
      </w:pPr>
      <w:r>
        <w:rPr/>
      </w:r>
    </w:p>
    <w:tbl>
      <w:tblPr>
        <w:tblW w:w="9180" w:type="dxa"/>
        <w:jc w:val="start"/>
        <w:tblInd w:w="108" w:type="dxa"/>
        <w:tblLayout w:type="fixed"/>
        <w:tblCellMar>
          <w:top w:w="0" w:type="dxa"/>
          <w:start w:w="108" w:type="dxa"/>
          <w:bottom w:w="0" w:type="dxa"/>
          <w:end w:w="108" w:type="dxa"/>
        </w:tblCellMar>
      </w:tblPr>
      <w:tblGrid>
        <w:gridCol w:w="4860"/>
        <w:gridCol w:w="360"/>
        <w:gridCol w:w="3960"/>
      </w:tblGrid>
      <w:tr>
        <w:trPr>
          <w:trHeight w:val="1620" w:hRule="atLeast"/>
        </w:trPr>
        <w:tc>
          <w:tcPr>
            <w:tcW w:w="4860" w:type="dxa"/>
            <w:tcBorders/>
          </w:tcPr>
          <w:p>
            <w:pPr>
              <w:pStyle w:val="Normal"/>
              <w:snapToGrid w:val="false"/>
              <w:rPr/>
            </w:pPr>
            <w:r>
              <w:rPr/>
            </w:r>
          </w:p>
          <w:p>
            <w:pPr>
              <w:pStyle w:val="Normal"/>
              <w:rPr/>
            </w:pPr>
            <w:r>
              <w:rPr/>
              <w:t>In the Matter of</w:t>
            </w:r>
          </w:p>
          <w:p>
            <w:pPr>
              <w:pStyle w:val="Normal"/>
              <w:rPr/>
            </w:pPr>
            <w:r>
              <w:rPr/>
              <w:t>Application of Enron North American Corp. for a Certificate of Public Convenience and Necessity to Construct a 188 MW Combustion Turbine Generation Facility in Edgecombe County, North Carolina</w:t>
            </w:r>
          </w:p>
        </w:tc>
        <w:tc>
          <w:tcPr>
            <w:tcW w:w="360" w:type="dxa"/>
            <w:tcBorders/>
          </w:tcPr>
          <w:p>
            <w:pPr>
              <w:pStyle w:val="Normal"/>
              <w:rPr/>
            </w:pPr>
            <w:r>
              <w:rPr/>
              <w:t>)</w:t>
              <w:br/>
              <w:t>)</w:t>
              <w:br/>
              <w:t>)</w:t>
              <w:br/>
              <w:t>)</w:t>
              <w:br/>
              <w:t>)</w:t>
              <w:br/>
              <w:t>)</w:t>
            </w:r>
          </w:p>
          <w:p>
            <w:pPr>
              <w:pStyle w:val="Normal"/>
              <w:rPr/>
            </w:pPr>
            <w:r>
              <w:rPr/>
              <w:t>)</w:t>
            </w:r>
          </w:p>
          <w:p>
            <w:pPr>
              <w:pStyle w:val="Normal"/>
              <w:rPr/>
            </w:pPr>
            <w:r>
              <w:rPr/>
              <w:t>)</w:t>
            </w:r>
          </w:p>
        </w:tc>
        <w:tc>
          <w:tcPr>
            <w:tcW w:w="3960" w:type="dxa"/>
            <w:tcBorders/>
          </w:tcPr>
          <w:p>
            <w:pPr>
              <w:pStyle w:val="Normal"/>
              <w:snapToGrid w:val="false"/>
              <w:jc w:val="center"/>
              <w:rPr>
                <w:b/>
                <w:bCs/>
              </w:rPr>
            </w:pPr>
            <w:r>
              <w:rPr>
                <w:b/>
                <w:bCs/>
              </w:rPr>
            </w:r>
          </w:p>
          <w:p>
            <w:pPr>
              <w:pStyle w:val="Normal"/>
              <w:jc w:val="center"/>
              <w:rPr>
                <w:b/>
                <w:bCs/>
              </w:rPr>
            </w:pPr>
            <w:r>
              <w:rPr>
                <w:b/>
                <w:bCs/>
              </w:rPr>
              <w:t>MOTION FOR LEAVE TO AMEND AND AMENDMENT TO THE APPLICATION FOR CERTIFICATE OF PUBLIC CONVENIENCE AND NECESSITY</w:t>
            </w:r>
          </w:p>
          <w:p>
            <w:pPr>
              <w:pStyle w:val="Normal"/>
              <w:rPr>
                <w:b/>
                <w:bCs/>
              </w:rPr>
            </w:pPr>
            <w:r>
              <w:rPr>
                <w:b/>
                <w:bCs/>
              </w:rPr>
            </w:r>
          </w:p>
        </w:tc>
      </w:tr>
    </w:tbl>
    <w:p>
      <w:pPr>
        <w:pStyle w:val="Normal"/>
        <w:rPr/>
      </w:pPr>
      <w:r>
        <w:rPr/>
      </w:r>
    </w:p>
    <w:p>
      <w:pPr>
        <w:pStyle w:val="Normal"/>
        <w:rPr/>
      </w:pPr>
      <w:r>
        <w:rPr/>
      </w:r>
    </w:p>
    <w:p>
      <w:pPr>
        <w:pStyle w:val="BodyText"/>
        <w:rPr/>
      </w:pPr>
      <w:r>
        <w:rPr/>
        <w:t>Pursuant to North Carolina Utilities Commission (“Commission”) Rule R1-7, Enron North America Corporation (“Enron”) moves the Commission for Leave to Amend its Application for a Certificate of Public Convenience and Necessity.  The Amendment explains that Enron has decided to form a limited liability company to apply for the Certificate of Public Convenience and Necessity.</w:t>
      </w:r>
    </w:p>
    <w:p>
      <w:pPr>
        <w:pStyle w:val="BodyText"/>
        <w:rPr/>
      </w:pPr>
      <w:r>
        <w:rPr/>
        <w:t>The Amendment further explains that Enron has decided to alter the plant configuration in terms of the types of turbines used from those described in the original Application in order to provide greater operating flexibility, additional MW output, and lower overall project costs.  This Amendment, therefore, also revises Exhibit 2, contained in the Application.</w:t>
      </w:r>
    </w:p>
    <w:p>
      <w:pPr>
        <w:pStyle w:val="BodyText"/>
        <w:rPr/>
      </w:pPr>
      <w:r>
        <w:rPr/>
        <w:t>In support of the amended Application, Enron respectfully shows the following:</w:t>
      </w:r>
    </w:p>
    <w:p>
      <w:pPr>
        <w:pStyle w:val="Heading1"/>
        <w:ind w:hanging="0" w:start="0"/>
        <w:rPr/>
      </w:pPr>
      <w:r>
        <w:rPr/>
        <w:t>On July 10, 2000, Enron filed with the Commission an Application pursuant to North Carolina General Statute §62-110.1 and Commission Rule R8-61 for a Certificate of Public Convenience and Necessity authorizing construction and operation of an approximately 188 megawatt (“MW”) dual-fueled combustion turbine generation facility in Edgecombe County, North Carolina.</w:t>
      </w:r>
    </w:p>
    <w:p>
      <w:pPr>
        <w:pStyle w:val="Heading1"/>
        <w:ind w:hanging="0" w:start="0"/>
        <w:rPr/>
      </w:pPr>
      <w:r>
        <w:rPr/>
        <w:t>Subsequent to the filing of the Application, Enron determined that the formation of a limited liability company (LLC) would be the most appropriate vehicle for constructing, owning and operating the facility in question.  The entity in question will be named the Edgecombe Development Co., LLC.</w:t>
      </w:r>
    </w:p>
    <w:p>
      <w:pPr>
        <w:pStyle w:val="Heading1"/>
        <w:ind w:hanging="0" w:start="0"/>
        <w:rPr/>
      </w:pPr>
      <w:r>
        <w:rPr/>
        <w:t>Edgecombe Development Co., LLC will be the sole owner of the Certificate of Public Convenience and Necessity.  Therefore, Enron is amending its Application to request that the Certificate be awarded to Edgecombe Development Co., LLC.</w:t>
      </w:r>
    </w:p>
    <w:p>
      <w:pPr>
        <w:pStyle w:val="BodyText"/>
        <w:rPr/>
      </w:pPr>
      <w:r>
        <w:rPr/>
        <w:t>4.</w:t>
        <w:tab/>
        <w:t xml:space="preserve">Also subsequent to the filing of the Application, Enron determined that a different plant configuration in terms of the types of turbines used offered advantages over the configuration described in the Application.  As originally described, the power plant was to consist of four General Electric LM 6000 combustion gas turbine generator sets (47 MW each at ISO, net of auxiliaries).  The new configuration consists of two General Electric LM 6000 combustion turbine generator sets (as described above) and one Siemens-Westinghouse 501D5A combustion gas turbine generator set (129 MW, net at ISO conditions).  The facility will have a net output of 223 MW (at ISO).  </w:t>
      </w:r>
    </w:p>
    <w:p>
      <w:pPr>
        <w:pStyle w:val="BodyText"/>
        <w:rPr/>
      </w:pPr>
      <w:r>
        <w:rPr/>
        <w:t>5.</w:t>
        <w:tab/>
        <w:t>As noted above, the new configuration was chosen to give greater flexibility in operating parameters, provide additional MW output, and lower overall project costs.  A revised Exhibit 2, reflecting the current configuration, is attached.</w:t>
      </w:r>
    </w:p>
    <w:p>
      <w:pPr>
        <w:pStyle w:val="BodyText"/>
        <w:rPr/>
      </w:pPr>
      <w:r>
        <w:rPr/>
        <w:t>6.</w:t>
        <w:tab/>
        <w:t>The amendments outlined above involve revisions to the plant and MW output references contained in Paragraphs 2, 3, 5 and Exhibit 2 of the Application, and line 3, page 3, and lines 19 and 20, page 5, of the prefiled direct testimony of Jeffrey Keenan.</w:t>
      </w:r>
    </w:p>
    <w:p>
      <w:pPr>
        <w:pStyle w:val="BodyText"/>
        <w:rPr/>
      </w:pPr>
      <w:r>
        <w:rPr/>
        <w:tab/>
        <w:t>WHEREFORE, Enron moves for leave to amend its Application and submit this amended Application and revised exhibit.  With the exception of those matters specifically set forth in this Amendment, the Application and prefiled testimony remain unchanged.</w:t>
      </w:r>
    </w:p>
    <w:p>
      <w:pPr>
        <w:pStyle w:val="BodyText"/>
        <w:rPr/>
      </w:pPr>
      <w:r>
        <w:rPr/>
        <w:tab/>
        <w:t>Respectfully submitted, this the 12</w:t>
      </w:r>
      <w:r>
        <w:rPr>
          <w:vertAlign w:val="superscript"/>
        </w:rPr>
        <w:t>th</w:t>
      </w:r>
      <w:r>
        <w:rPr/>
        <w:t xml:space="preserve"> day of September, 2000.</w:t>
      </w:r>
    </w:p>
    <w:p>
      <w:pPr>
        <w:pStyle w:val="BodyText"/>
        <w:rPr/>
      </w:pPr>
      <w:r>
        <w:rPr/>
      </w:r>
    </w:p>
    <w:p>
      <w:pPr>
        <w:pStyle w:val="IDStyle"/>
        <w:rPr/>
      </w:pPr>
      <w:r>
        <w:rPr/>
        <w:fldChar w:fldCharType="begin"/>
      </w:r>
      <w:r>
        <w:rPr/>
        <w:instrText xml:space="preserve"> DOCPROPERTY "Library"</w:instrText>
      </w:r>
      <w:r>
        <w:rPr/>
        <w:fldChar w:fldCharType="separate"/>
      </w:r>
      <w:r>
        <w:rPr/>
        <w:t>RALLIB01</w:t>
      </w:r>
      <w:r>
        <w:rPr/>
        <w:fldChar w:fldCharType="end"/>
      </w:r>
      <w:r>
        <w:rPr/>
        <w:t>:</w:t>
      </w:r>
      <w:r>
        <w:rPr/>
        <w:fldChar w:fldCharType="begin"/>
      </w:r>
      <w:r>
        <w:rPr/>
        <w:instrText xml:space="preserve"> DOCPROPERTY "DocNumber"</w:instrText>
      </w:r>
      <w:r>
        <w:rPr/>
        <w:fldChar w:fldCharType="separate"/>
      </w:r>
      <w:r>
        <w:rPr/>
        <w:t>569262</w:t>
      </w:r>
      <w:r>
        <w:rPr/>
        <w:fldChar w:fldCharType="end"/>
      </w:r>
      <w:r>
        <w:rPr/>
        <w:t>.</w:t>
      </w:r>
      <w:r>
        <w:rPr/>
        <w:fldChar w:fldCharType="begin"/>
      </w:r>
      <w:r>
        <w:rPr/>
        <w:instrText xml:space="preserve"> DOCPROPERTY "Version"</w:instrText>
      </w:r>
      <w:r>
        <w:rPr/>
        <w:fldChar w:fldCharType="separate"/>
      </w:r>
      <w:r>
        <w:rPr/>
        <w:t>1</w:t>
      </w:r>
      <w:r>
        <w:rPr/>
        <w:fldChar w:fldCharType="end"/>
      </w:r>
    </w:p>
    <w:p>
      <w:pPr>
        <w:pStyle w:val="BodyText"/>
        <w:spacing w:before="0" w:after="240"/>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firstLine="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000000"/>
      </w:rPr>
    </w:lvl>
    <w:lvl w:ilvl="1">
      <w:start w:val="1"/>
      <w:pStyle w:val="Heading2"/>
      <w:numFmt w:val="none"/>
      <w:suff w:val="nothing"/>
      <w:lvlText w:val=""/>
      <w:lvlJc w:val="start"/>
      <w:pPr>
        <w:tabs>
          <w:tab w:val="num" w:pos="0"/>
        </w:tabs>
        <w:ind w:start="720" w:hanging="0"/>
      </w:pPr>
    </w:lvl>
    <w:lvl w:ilvl="2">
      <w:start w:val="1"/>
      <w:pStyle w:val="Heading3"/>
      <w:numFmt w:val="none"/>
      <w:suff w:val="nothing"/>
      <w:lvlText w:val=""/>
      <w:lvlJc w:val="start"/>
      <w:pPr>
        <w:tabs>
          <w:tab w:val="num" w:pos="0"/>
        </w:tabs>
        <w:ind w:start="1440" w:hanging="0"/>
      </w:pPr>
    </w:lvl>
    <w:lvl w:ilvl="3">
      <w:start w:val="1"/>
      <w:pStyle w:val="Heading4"/>
      <w:numFmt w:val="none"/>
      <w:suff w:val="nothing"/>
      <w:lvlText w:val=""/>
      <w:lvlJc w:val="start"/>
      <w:pPr>
        <w:tabs>
          <w:tab w:val="num" w:pos="0"/>
        </w:tabs>
        <w:ind w:start="2160" w:hanging="0"/>
      </w:pPr>
    </w:lvl>
    <w:lvl w:ilvl="4">
      <w:start w:val="1"/>
      <w:pStyle w:val="Heading5"/>
      <w:numFmt w:val="none"/>
      <w:suff w:val="nothing"/>
      <w:lvlText w:val=""/>
      <w:lvlJc w:val="start"/>
      <w:pPr>
        <w:tabs>
          <w:tab w:val="num" w:pos="0"/>
        </w:tabs>
        <w:ind w:start="2880" w:hanging="0"/>
      </w:pPr>
    </w:lvl>
    <w:lvl w:ilvl="5">
      <w:start w:val="1"/>
      <w:pStyle w:val="Heading6"/>
      <w:numFmt w:val="none"/>
      <w:suff w:val="nothing"/>
      <w:lvlText w:val=""/>
      <w:lvlJc w:val="start"/>
      <w:pPr>
        <w:tabs>
          <w:tab w:val="num" w:pos="0"/>
        </w:tabs>
        <w:ind w:start="3600" w:hanging="0"/>
      </w:pPr>
    </w:lvl>
    <w:lvl w:ilvl="6">
      <w:start w:val="1"/>
      <w:pStyle w:val="Heading7"/>
      <w:numFmt w:val="none"/>
      <w:suff w:val="nothing"/>
      <w:lvlText w:val=""/>
      <w:lvlJc w:val="start"/>
      <w:pPr>
        <w:tabs>
          <w:tab w:val="num" w:pos="0"/>
        </w:tabs>
        <w:ind w:start="4320" w:hanging="0"/>
      </w:pPr>
    </w:lvl>
    <w:lvl w:ilvl="7">
      <w:start w:val="1"/>
      <w:pStyle w:val="Heading8"/>
      <w:numFmt w:val="none"/>
      <w:suff w:val="nothing"/>
      <w:lvlText w:val=""/>
      <w:lvlJc w:val="start"/>
      <w:pPr>
        <w:tabs>
          <w:tab w:val="num" w:pos="0"/>
        </w:tabs>
        <w:ind w:start="5040" w:hanging="0"/>
      </w:pPr>
    </w:lvl>
    <w:lvl w:ilvl="8">
      <w:start w:val="1"/>
      <w:pStyle w:val="Heading9"/>
      <w:numFmt w:val="none"/>
      <w:suff w:val="nothing"/>
      <w:lvlText w:val=""/>
      <w:lvlJc w:val="start"/>
      <w:pPr>
        <w:tabs>
          <w:tab w:val="num" w:pos="0"/>
        </w:tabs>
        <w:ind w:start="576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docVars>
    <w:docVar w:name="SWAllFollowNumberWith" w:val="3|"/>
    <w:docVar w:name="SWAllNumberFont" w:val="1|||00000000000000~~0|0|0|100|0|0|@@"/>
    <w:docVar w:name="SWAllNumberStyle" w:val="1|"/>
    <w:docVar w:name="SWAllRestartAfterHigher" w:val="1|"/>
    <w:docVar w:name="SWAllStyleThatFollows" w:val="Body Text|"/>
    <w:docVar w:name="SWAllTextAfter" w:val=".|"/>
    <w:docVar w:name="SWAllTextBefore" w:val="|"/>
    <w:docVar w:name="SWConformFont" w:val="1|Times New Roman|12"/>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5"/>
      <w:szCs w:val="24"/>
      <w:lang w:val="en-US" w:bidi="ar-SA" w:eastAsia="zh-CN"/>
    </w:rPr>
  </w:style>
  <w:style w:type="paragraph" w:styleId="Heading1">
    <w:name w:val="heading 1"/>
    <w:basedOn w:val="Normal"/>
    <w:next w:val="BodyText"/>
    <w:qFormat/>
    <w:pPr>
      <w:keepNext w:val="true"/>
      <w:numPr>
        <w:ilvl w:val="0"/>
        <w:numId w:val="1"/>
      </w:numPr>
      <w:tabs>
        <w:tab w:val="clear" w:pos="720"/>
      </w:tabs>
      <w:spacing w:lineRule="auto" w:line="480"/>
      <w:jc w:val="both"/>
      <w:outlineLvl w:val="0"/>
    </w:pPr>
    <w:rPr>
      <w:rFonts w:cs="Arial"/>
      <w:bCs/>
      <w:kern w:val="2"/>
      <w:sz w:val="24"/>
      <w:szCs w:val="32"/>
    </w:rPr>
  </w:style>
  <w:style w:type="paragraph" w:styleId="Heading2">
    <w:name w:val="heading 2"/>
    <w:basedOn w:val="Normal"/>
    <w:next w:val="Normal"/>
    <w:qFormat/>
    <w:pPr>
      <w:keepNext w:val="true"/>
      <w:numPr>
        <w:ilvl w:val="1"/>
        <w:numId w:val="1"/>
      </w:numPr>
      <w:spacing w:before="240" w:after="60"/>
      <w:outlineLvl w:val="1"/>
    </w:pPr>
    <w:rPr>
      <w:rFonts w:cs="Arial"/>
      <w:bCs/>
      <w:iCs/>
      <w:szCs w:val="28"/>
    </w:rPr>
  </w:style>
  <w:style w:type="paragraph" w:styleId="Heading3">
    <w:name w:val="heading 3"/>
    <w:basedOn w:val="Normal"/>
    <w:next w:val="Normal"/>
    <w:qFormat/>
    <w:pPr>
      <w:numPr>
        <w:ilvl w:val="2"/>
        <w:numId w:val="1"/>
      </w:numPr>
      <w:spacing w:before="240" w:after="60"/>
      <w:outlineLvl w:val="2"/>
    </w:pPr>
    <w:rPr>
      <w:rFonts w:cs="Arial"/>
      <w:bCs/>
      <w:szCs w:val="26"/>
    </w:rPr>
  </w:style>
  <w:style w:type="paragraph" w:styleId="Heading4">
    <w:name w:val="heading 4"/>
    <w:basedOn w:val="Normal"/>
    <w:next w:val="Normal"/>
    <w:qFormat/>
    <w:pPr>
      <w:numPr>
        <w:ilvl w:val="3"/>
        <w:numId w:val="1"/>
      </w:numPr>
      <w:spacing w:before="240" w:after="60"/>
      <w:outlineLvl w:val="3"/>
    </w:pPr>
    <w:rPr>
      <w:bCs/>
      <w:szCs w:val="28"/>
    </w:rPr>
  </w:style>
  <w:style w:type="paragraph" w:styleId="Heading5">
    <w:name w:val="heading 5"/>
    <w:basedOn w:val="Normal"/>
    <w:next w:val="Normal"/>
    <w:qFormat/>
    <w:pPr>
      <w:numPr>
        <w:ilvl w:val="4"/>
        <w:numId w:val="1"/>
      </w:numPr>
      <w:spacing w:before="240" w:after="60"/>
      <w:outlineLvl w:val="4"/>
    </w:pPr>
    <w:rPr>
      <w:bCs/>
      <w:iCs/>
      <w:szCs w:val="26"/>
    </w:rPr>
  </w:style>
  <w:style w:type="paragraph" w:styleId="Heading6">
    <w:name w:val="heading 6"/>
    <w:basedOn w:val="Normal"/>
    <w:next w:val="Normal"/>
    <w:qFormat/>
    <w:pPr>
      <w:numPr>
        <w:ilvl w:val="5"/>
        <w:numId w:val="1"/>
      </w:numPr>
      <w:spacing w:before="240" w:after="60"/>
      <w:outlineLvl w:val="5"/>
    </w:pPr>
    <w:rPr>
      <w:bCs/>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Cs/>
    </w:rPr>
  </w:style>
  <w:style w:type="paragraph" w:styleId="Heading9">
    <w:name w:val="heading 9"/>
    <w:basedOn w:val="Normal"/>
    <w:next w:val="Normal"/>
    <w:qFormat/>
    <w:pPr>
      <w:numPr>
        <w:ilvl w:val="8"/>
        <w:numId w:val="1"/>
      </w:numPr>
      <w:spacing w:before="240" w:after="60"/>
      <w:outlineLvl w:val="8"/>
    </w:pPr>
    <w:rPr>
      <w:rFonts w:cs="Arial"/>
      <w:szCs w:val="22"/>
    </w:rPr>
  </w:style>
  <w:style w:type="character" w:styleId="WW8Num1z0">
    <w:name w:val="WW8Num1z0"/>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2z0">
    <w:name w:val="WW8Num2z0"/>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WW8Num3z0">
    <w:name w:val="WW8Num3z0"/>
    <w:qFormat/>
    <w:rPr>
      <w:b w:val="false"/>
      <w:i w:val="false"/>
      <w:caps w:val="false"/>
      <w:smallCaps w:val="false"/>
      <w:strike w:val="false"/>
      <w:dstrike w:val="false"/>
      <w:outline w:val="false"/>
      <w:shadow w:val="false"/>
      <w:vanish w:val="false"/>
      <w:color w:val="000000"/>
      <w:spacing w:val="0"/>
      <w:w w:val="100"/>
      <w:kern w:val="0"/>
      <w:position w:val="0"/>
      <w:sz w:val="24"/>
      <w:u w:val="none"/>
      <w:vertAlign w:val="baseline"/>
    </w:rPr>
  </w:style>
  <w:style w:type="character" w:styleId="DefaultParagraphFont">
    <w:name w:val="Default Paragraph Font"/>
    <w:qFormat/>
    <w:rPr/>
  </w:style>
  <w:style w:type="paragraph" w:styleId="Heading">
    <w:name w:val="Heading"/>
    <w:basedOn w:val="Normal"/>
    <w:next w:val="BodyText"/>
    <w:qFormat/>
    <w:pPr>
      <w:jc w:val="center"/>
      <w:outlineLvl w:val="0"/>
    </w:pPr>
    <w:rPr>
      <w:rFonts w:ascii="Arial" w:hAnsi="Arial" w:cs="Arial"/>
      <w:b/>
      <w:bCs/>
      <w:kern w:val="2"/>
      <w:sz w:val="32"/>
      <w:szCs w:val="32"/>
    </w:rPr>
  </w:style>
  <w:style w:type="paragraph" w:styleId="BodyText">
    <w:name w:val="Body Text"/>
    <w:basedOn w:val="Normal"/>
    <w:pPr>
      <w:spacing w:lineRule="auto" w:line="480"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overflowPunct w:val="false"/>
      <w:autoSpaceDE w:val="false"/>
      <w:spacing w:before="0" w:after="240"/>
      <w:ind w:firstLine="720" w:start="0" w:end="0"/>
      <w:jc w:val="both"/>
      <w:textAlignment w:val="baseline"/>
    </w:pPr>
    <w:rPr>
      <w:szCs w:val="20"/>
    </w:rPr>
  </w:style>
  <w:style w:type="paragraph" w:styleId="TOC1">
    <w:name w:val="toc 1"/>
    <w:basedOn w:val="Normal"/>
    <w:next w:val="Normal"/>
    <w:pPr/>
    <w:rPr/>
  </w:style>
  <w:style w:type="paragraph" w:styleId="TOC2">
    <w:name w:val="toc 2"/>
    <w:basedOn w:val="Normal"/>
    <w:next w:val="Normal"/>
    <w:pPr>
      <w:ind w:hanging="0" w:start="250" w:end="0"/>
    </w:pPr>
    <w:rPr/>
  </w:style>
  <w:style w:type="paragraph" w:styleId="TOC3">
    <w:name w:val="toc 3"/>
    <w:basedOn w:val="Normal"/>
    <w:next w:val="Normal"/>
    <w:pPr>
      <w:ind w:hanging="0" w:start="500" w:end="0"/>
    </w:pPr>
    <w:rPr/>
  </w:style>
  <w:style w:type="paragraph" w:styleId="TOC4">
    <w:name w:val="toc 4"/>
    <w:basedOn w:val="Normal"/>
    <w:next w:val="Normal"/>
    <w:pPr>
      <w:ind w:hanging="0" w:start="750" w:end="0"/>
    </w:pPr>
    <w:rPr/>
  </w:style>
  <w:style w:type="paragraph" w:styleId="TOC5">
    <w:name w:val="toc 5"/>
    <w:basedOn w:val="Normal"/>
    <w:next w:val="Normal"/>
    <w:pPr>
      <w:ind w:hanging="0" w:start="1000" w:end="0"/>
    </w:pPr>
    <w:rPr/>
  </w:style>
  <w:style w:type="paragraph" w:styleId="TOC6">
    <w:name w:val="toc 6"/>
    <w:basedOn w:val="Normal"/>
    <w:next w:val="Normal"/>
    <w:pPr>
      <w:ind w:hanging="0" w:start="1250" w:end="0"/>
    </w:pPr>
    <w:rPr/>
  </w:style>
  <w:style w:type="paragraph" w:styleId="TOC7">
    <w:name w:val="toc 7"/>
    <w:basedOn w:val="Normal"/>
    <w:next w:val="Normal"/>
    <w:pPr>
      <w:ind w:hanging="0" w:start="1500" w:end="0"/>
    </w:pPr>
    <w:rPr/>
  </w:style>
  <w:style w:type="paragraph" w:styleId="TOC8">
    <w:name w:val="toc 8"/>
    <w:basedOn w:val="Normal"/>
    <w:next w:val="Normal"/>
    <w:pPr>
      <w:ind w:hanging="0" w:start="1750" w:end="0"/>
    </w:pPr>
    <w:rPr/>
  </w:style>
  <w:style w:type="paragraph" w:styleId="TOC9">
    <w:name w:val="toc 9"/>
    <w:basedOn w:val="Normal"/>
    <w:next w:val="Normal"/>
    <w:pPr>
      <w:ind w:hanging="0" w:start="2000" w:end="0"/>
    </w:pPr>
    <w:rPr/>
  </w:style>
  <w:style w:type="paragraph" w:styleId="IDStyle">
    <w:name w:val="IDStyle"/>
    <w:basedOn w:val="BodyText"/>
    <w:qFormat/>
    <w:pPr/>
    <w:rPr>
      <w:sz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2000-09-12T12:42:00Z</dcterms:created>
  <dc:creator>cakinfol</dc:creator>
  <dc:description/>
  <dc:language>en-CA</dc:language>
  <cp:lastModifiedBy>ADUNCAN</cp:lastModifiedBy>
  <cp:lastPrinted>2000-09-12T11:43:00Z</cp:lastPrinted>
  <dcterms:modified xsi:type="dcterms:W3CDTF">2000-09-12T14:10:00Z</dcterms:modified>
  <cp:revision>4</cp:revision>
  <dc:subject/>
  <dc:title>STATE OF NORTH CAROLINA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569262</vt:lpwstr>
  </property>
  <property fmtid="{D5CDD505-2E9C-101B-9397-08002B2CF9AE}" pid="3" name="Library">
    <vt:lpwstr>RALLIB01</vt:lpwstr>
  </property>
  <property fmtid="{D5CDD505-2E9C-101B-9397-08002B2CF9AE}" pid="4" name="Version">
    <vt:lpwstr>1</vt:lpwstr>
  </property>
</Properties>
</file>