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widowControl w:val="false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System" w:ascii="System" w:hAnsi="System"/>
          <w:b/>
        </w:rPr>
        <w:drawing>
          <wp:inline distT="0" distB="0" distL="0" distR="0">
            <wp:extent cx="1236345" cy="12268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29" r="-2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The ABA Section of Antitrust Law is hosting </w:t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widowControl w:val="false"/>
        <w:jc w:val="center"/>
        <w:rPr/>
      </w:pPr>
      <w:r>
        <w:rPr>
          <w:rFonts w:cs="Tahoma" w:ascii="Tahoma" w:hAnsi="Tahoma"/>
          <w:b/>
          <w:sz w:val="28"/>
        </w:rPr>
        <w:t>Microsoft: The Case, The Remand, The Next (Hail)</w:t>
      </w:r>
      <w:r>
        <w:rPr>
          <w:rFonts w:cs="Arial" w:ascii="Arial" w:hAnsi="Arial"/>
          <w:color w:val="0000FF"/>
          <w:sz w:val="28"/>
        </w:rPr>
        <w:t xml:space="preserve"> </w:t>
      </w:r>
      <w:r>
        <w:rPr>
          <w:rFonts w:cs="Tahoma" w:ascii="Tahoma" w:hAnsi="Tahoma"/>
          <w:b/>
          <w:sz w:val="28"/>
        </w:rPr>
        <w:t>Storm</w:t>
      </w:r>
    </w:p>
    <w:p>
      <w:pPr>
        <w:pStyle w:val="Normal"/>
        <w:widowControl w:val="false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Brown Bag Luncheon and Teleconference</w:t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(drinks provided)</w:t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July 25, 2001</w:t>
      </w:r>
    </w:p>
    <w:p>
      <w:pPr>
        <w:pStyle w:val="Normal"/>
        <w:widowControl w:val="false"/>
        <w:jc w:val="center"/>
        <w:rPr/>
      </w:pPr>
      <w:r>
        <w:rPr>
          <w:rFonts w:cs="Arial" w:ascii="Arial" w:hAnsi="Arial"/>
          <w:b/>
        </w:rPr>
        <w:t>11</w:t>
      </w:r>
      <w:r>
        <w:rPr>
          <w:rFonts w:cs="Tahoma" w:ascii="Tahoma" w:hAnsi="Tahoma"/>
          <w:b/>
        </w:rPr>
        <w:t xml:space="preserve">:00 a.m. to </w:t>
      </w:r>
      <w:r>
        <w:rPr>
          <w:rFonts w:cs="Arial" w:ascii="Arial" w:hAnsi="Arial"/>
          <w:b/>
        </w:rPr>
        <w:t>1</w:t>
      </w:r>
      <w:r>
        <w:rPr>
          <w:rFonts w:cs="Tahoma" w:ascii="Tahoma" w:hAnsi="Tahoma"/>
          <w:b/>
        </w:rPr>
        <w:t>:00 p.m.</w:t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Houston Satellite location: 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Offices of Baker Botts L.L.P.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>One Shell Plaza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>910 Louisiana Street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>38th Floor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Houston, Texas 77002-4995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The Internet, Section Two and Computer Industry Committees of the Section of Antitrust Law invite you to a brown bag lunch 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to explore the DC Circuit's June 2001 decision in the Microsoft case, including what it means for 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Microsoft's anticipated release this fall of its next operating system, Windows XP. </w:t>
      </w:r>
    </w:p>
    <w:p>
      <w:pPr>
        <w:pStyle w:val="Normal"/>
        <w:widowControl w:val="false"/>
        <w:jc w:val="center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</w:r>
    </w:p>
    <w:p>
      <w:pPr>
        <w:pStyle w:val="Normal"/>
        <w:widowControl w:val="false"/>
        <w:jc w:val="center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  <w:t>Panelists are:</w:t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Andy Gavil, Esq.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Howard University School of Law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Powell Goldstein Frazer &amp; Murphy LLP, Washington, D.C.</w:t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Charles (“Rick”) Rule, Esq.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Fried Frank Harris Shriver &amp; Jacobson, Washington, D.C.</w:t>
      </w:r>
    </w:p>
    <w:p>
      <w:pPr>
        <w:pStyle w:val="Normal"/>
        <w:widowControl w:val="false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Robert Levinson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Charles River Associates, Washington, D.C.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jc w:val="center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  <w:t xml:space="preserve">Moderators will be </w:t>
      </w:r>
    </w:p>
    <w:p>
      <w:pPr>
        <w:pStyle w:val="Normal"/>
        <w:widowControl w:val="false"/>
        <w:jc w:val="center"/>
        <w:rPr/>
      </w:pPr>
      <w:r>
        <w:rPr>
          <w:rFonts w:cs="Tahoma" w:ascii="Tahoma" w:hAnsi="Tahoma"/>
          <w:b/>
        </w:rPr>
        <w:t>Gail Levine</w:t>
      </w:r>
      <w:r>
        <w:rPr>
          <w:rFonts w:cs="Tahoma" w:ascii="Tahoma" w:hAnsi="Tahoma"/>
        </w:rPr>
        <w:t xml:space="preserve">, Office of the General Counsel, Federal Trade Commission and </w:t>
      </w:r>
    </w:p>
    <w:p>
      <w:pPr>
        <w:pStyle w:val="Normal"/>
        <w:widowControl w:val="false"/>
        <w:jc w:val="center"/>
        <w:rPr/>
      </w:pPr>
      <w:r>
        <w:rPr>
          <w:rFonts w:cs="Tahoma" w:ascii="Tahoma" w:hAnsi="Tahoma"/>
          <w:b/>
        </w:rPr>
        <w:t>Mark S. Popofsky</w:t>
      </w:r>
      <w:r>
        <w:rPr>
          <w:rFonts w:cs="Tahoma" w:ascii="Tahoma" w:hAnsi="Tahoma"/>
        </w:rPr>
        <w:t>, Kaye Scholer LLP.</w:t>
      </w:r>
    </w:p>
    <w:p>
      <w:pPr>
        <w:pStyle w:val="Normal"/>
        <w:widowControl w:val="false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jc w:val="center"/>
        <w:rPr>
          <w:b/>
          <w:color w:val="0000FF"/>
        </w:rPr>
      </w:pPr>
      <w:r>
        <w:rPr>
          <w:rFonts w:cs="Tahoma" w:ascii="Tahoma" w:hAnsi="Tahoma"/>
          <w:b/>
          <w:color w:val="0000FF"/>
        </w:rPr>
        <w:t>Please RSVP to sherry.southworth</w:t>
      </w:r>
      <w:r>
        <w:rPr>
          <w:rFonts w:cs="Arial" w:ascii="Arial" w:hAnsi="Arial"/>
          <w:b/>
          <w:color w:val="0000FF"/>
        </w:rPr>
        <w:t>@bakerbotts.com</w:t>
      </w:r>
    </w:p>
    <w:p>
      <w:pPr>
        <w:pStyle w:val="Normal"/>
        <w:widowControl w:val="false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widowControl w:val="false"/>
        <w:tabs>
          <w:tab w:val="clear" w:pos="720"/>
          <w:tab w:val="left" w:pos="1800" w:leader="none"/>
        </w:tabs>
        <w:ind w:hanging="1800" w:start="180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stem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2001-07-18T18:11:00Z</dcterms:created>
  <dc:creator> </dc:creator>
  <dc:description>No Footer</dc:description>
  <dc:language>en-CA</dc:language>
  <cp:lastModifiedBy>fking</cp:lastModifiedBy>
  <cp:lastPrinted>2001-07-18T15:39:00Z</cp:lastPrinted>
  <dcterms:modified xsi:type="dcterms:W3CDTF">2001-07-18T18:11:00Z</dcterms:modified>
  <cp:revision>2</cp:revision>
  <dc:subject/>
  <dc:title>Microsoft: The Case, The Remand, The Next (Hail) Storm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Type">
    <vt:lpwstr>Letter (Draft)</vt:lpwstr>
  </property>
</Properties>
</file>