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Override PartName="/word/footer1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DateLeftMargin"/>
        <w:spacing w:before="0" w:after="0"/>
        <w:rPr/>
      </w:pPr>
      <w:r>
        <w:rPr/>
      </w:r>
    </w:p>
    <w:p>
      <w:pPr>
        <w:pStyle w:val="CenterB"/>
        <w:pBdr>
          <w:top w:val="single" w:sz="36" w:space="1" w:color="000000"/>
        </w:pBdr>
        <w:rPr/>
      </w:pPr>
      <w:r>
        <w:rPr/>
      </w:r>
    </w:p>
    <w:p>
      <w:pPr>
        <w:pStyle w:val="CenterB"/>
        <w:rPr/>
      </w:pPr>
      <w:r>
        <w:rPr/>
      </w:r>
    </w:p>
    <w:p>
      <w:pPr>
        <w:pStyle w:val="CenterB"/>
        <w:rPr/>
      </w:pPr>
      <w:r>
        <w:rPr/>
        <w:t>PROJECT DEVELOPMENT AGREEMENT</w:t>
      </w:r>
    </w:p>
    <w:p>
      <w:pPr>
        <w:pStyle w:val="CenterNoBNoU"/>
        <w:rPr/>
      </w:pPr>
      <w:r>
        <w:rPr/>
        <w:t>by and between</w:t>
      </w:r>
    </w:p>
    <w:p>
      <w:pPr>
        <w:pStyle w:val="CenterNoBNoU"/>
        <w:rPr/>
      </w:pPr>
      <w:r>
        <w:rPr/>
        <w:t>AES GREYSTONE, L.L.C.</w:t>
      </w:r>
    </w:p>
    <w:p>
      <w:pPr>
        <w:pStyle w:val="CenterNoBNoU"/>
        <w:rPr/>
      </w:pPr>
      <w:r>
        <w:rPr/>
        <w:t>and</w:t>
      </w:r>
    </w:p>
    <w:p>
      <w:pPr>
        <w:pStyle w:val="CenterNoBNoU"/>
        <w:rPr/>
      </w:pPr>
      <w:r>
        <w:rPr/>
        <w:t>VOLUNTEER LAND DEVELOPMENT COMPANY, L.L.C.</w:t>
      </w:r>
    </w:p>
    <w:p>
      <w:pPr>
        <w:pStyle w:val="CenterNoBNoU"/>
        <w:rPr/>
      </w:pPr>
      <w:r>
        <w:rPr/>
      </w:r>
    </w:p>
    <w:p>
      <w:pPr>
        <w:pStyle w:val="CenterNoBNoU"/>
        <w:rPr/>
      </w:pPr>
      <w:r>
        <w:rPr/>
        <w:t>Dated:  December 15, 2000</w:t>
      </w:r>
    </w:p>
    <w:p>
      <w:pPr>
        <w:pStyle w:val="CenterNoBNoU"/>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CenterNoBNoU"/>
        <w:pBdr>
          <w:bottom w:val="single" w:sz="36" w:space="1" w:color="000000"/>
        </w:pBdr>
        <w:rPr/>
      </w:pPr>
      <w:r>
        <w:rPr/>
      </w:r>
    </w:p>
    <w:p>
      <w:pPr>
        <w:pStyle w:val="Normal"/>
        <w:rPr>
          <w:sz w:val="22"/>
        </w:rPr>
      </w:pPr>
      <w:r>
        <w:rPr>
          <w:sz w:val="22"/>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\o "2-2" \t "Heading 1,1" </w:instrText>
          </w:r>
          <w:r>
            <w:rPr>
              <w:lang w:val="en-CA" w:eastAsia="en-CA"/>
            </w:rPr>
            <w:fldChar w:fldCharType="separate"/>
          </w:r>
          <w:r>
            <w:rPr>
              <w:lang w:val="en-CA" w:eastAsia="en-CA"/>
            </w:rPr>
            <w:t>ARTICLE I DEFINITIONS</w:t>
            <w:tab/>
          </w:r>
          <w:hyperlink w:anchor="__RefHeading___Toc501258010">
            <w:r>
              <w:rPr>
                <w:rStyle w:val="IndexLink"/>
                <w:lang w:val="en-CA" w:eastAsia="en-CA"/>
              </w:rPr>
              <w:t>1</w:t>
            </w:r>
          </w:hyperlink>
        </w:p>
        <w:p>
          <w:pPr>
            <w:pStyle w:val="TOC2"/>
            <w:tabs>
              <w:tab w:val="clear" w:pos="720"/>
              <w:tab w:val="left" w:pos="1680" w:leader="none"/>
              <w:tab w:val="right" w:pos="9350" w:leader="dot"/>
            </w:tabs>
            <w:rPr>
              <w:lang w:val="en-CA" w:eastAsia="en-CA"/>
            </w:rPr>
          </w:pPr>
          <w:r>
            <w:rPr>
              <w:color w:val="000000"/>
              <w:lang w:val="en-CA" w:eastAsia="en-CA"/>
            </w:rPr>
            <w:t>SECTION 1.1</w:t>
          </w:r>
          <w:r>
            <w:rPr>
              <w:lang w:val="en-CA" w:eastAsia="en-CA"/>
            </w:rPr>
            <w:tab/>
            <w:t>Definitions.</w:t>
            <w:tab/>
          </w:r>
          <w:hyperlink w:anchor="__RefHeading___Toc501258011">
            <w:r>
              <w:rPr>
                <w:rStyle w:val="IndexLink"/>
                <w:lang w:val="en-CA" w:eastAsia="en-CA"/>
              </w:rPr>
              <w:t>1</w:t>
            </w:r>
          </w:hyperlink>
        </w:p>
        <w:p>
          <w:pPr>
            <w:pStyle w:val="TOC2"/>
            <w:tabs>
              <w:tab w:val="clear" w:pos="720"/>
              <w:tab w:val="left" w:pos="1680" w:leader="none"/>
              <w:tab w:val="right" w:pos="9350" w:leader="dot"/>
            </w:tabs>
            <w:rPr>
              <w:lang w:val="en-CA" w:eastAsia="en-CA"/>
            </w:rPr>
          </w:pPr>
          <w:r>
            <w:rPr>
              <w:color w:val="000000"/>
              <w:lang w:val="en-CA" w:eastAsia="en-CA"/>
            </w:rPr>
            <w:t>SECTION 1.2</w:t>
          </w:r>
          <w:r>
            <w:rPr>
              <w:lang w:val="en-CA" w:eastAsia="en-CA"/>
            </w:rPr>
            <w:tab/>
            <w:t>Rules of Construction.</w:t>
            <w:tab/>
          </w:r>
          <w:hyperlink w:anchor="__RefHeading___Toc501258012">
            <w:r>
              <w:rPr>
                <w:rStyle w:val="IndexLink"/>
                <w:lang w:val="en-CA" w:eastAsia="en-CA"/>
              </w:rPr>
              <w:t>1</w:t>
            </w:r>
          </w:hyperlink>
        </w:p>
        <w:p>
          <w:pPr>
            <w:pStyle w:val="TOC1"/>
            <w:tabs>
              <w:tab w:val="clear" w:pos="720"/>
              <w:tab w:val="right" w:pos="9350" w:leader="dot"/>
            </w:tabs>
            <w:rPr>
              <w:lang w:val="en-CA" w:eastAsia="en-CA"/>
            </w:rPr>
          </w:pPr>
          <w:r>
            <w:rPr>
              <w:lang w:val="en-CA" w:eastAsia="en-CA"/>
            </w:rPr>
            <w:t>ARTICLE II DEVELOPMENT SERVICES</w:t>
            <w:tab/>
          </w:r>
          <w:hyperlink w:anchor="__RefHeading___Toc501258013">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2.1</w:t>
          </w:r>
          <w:r>
            <w:rPr>
              <w:lang w:val="en-CA" w:eastAsia="en-CA"/>
            </w:rPr>
            <w:tab/>
            <w:t>Obligations of Developer.</w:t>
            <w:tab/>
          </w:r>
          <w:hyperlink w:anchor="__RefHeading___Toc501258014">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2.2</w:t>
          </w:r>
          <w:r>
            <w:rPr>
              <w:lang w:val="en-CA" w:eastAsia="en-CA"/>
            </w:rPr>
            <w:tab/>
            <w:t>Obligations of Purchaser.</w:t>
            <w:tab/>
          </w:r>
          <w:hyperlink w:anchor="__RefHeading___Toc501258015">
            <w:r>
              <w:rPr>
                <w:rStyle w:val="IndexLink"/>
                <w:lang w:val="en-CA" w:eastAsia="en-CA"/>
              </w:rPr>
              <w:t>2</w:t>
            </w:r>
          </w:hyperlink>
        </w:p>
        <w:p>
          <w:pPr>
            <w:pStyle w:val="TOC2"/>
            <w:tabs>
              <w:tab w:val="clear" w:pos="720"/>
              <w:tab w:val="left" w:pos="1680" w:leader="none"/>
              <w:tab w:val="right" w:pos="9350" w:leader="dot"/>
            </w:tabs>
            <w:rPr>
              <w:lang w:val="en-CA" w:eastAsia="en-CA"/>
            </w:rPr>
          </w:pPr>
          <w:r>
            <w:rPr>
              <w:color w:val="000000"/>
              <w:lang w:val="en-CA" w:eastAsia="en-CA"/>
            </w:rPr>
            <w:t>SECTION 2.3</w:t>
          </w:r>
          <w:r>
            <w:rPr>
              <w:lang w:val="en-CA" w:eastAsia="en-CA"/>
            </w:rPr>
            <w:tab/>
            <w:t>Miscellaneous.</w:t>
            <w:tab/>
          </w:r>
          <w:hyperlink w:anchor="__RefHeading___Toc501258016">
            <w:r>
              <w:rPr>
                <w:rStyle w:val="IndexLink"/>
                <w:lang w:val="en-CA" w:eastAsia="en-CA"/>
              </w:rPr>
              <w:t>3</w:t>
            </w:r>
          </w:hyperlink>
        </w:p>
        <w:p>
          <w:pPr>
            <w:pStyle w:val="TOC1"/>
            <w:tabs>
              <w:tab w:val="clear" w:pos="720"/>
              <w:tab w:val="right" w:pos="9350" w:leader="dot"/>
            </w:tabs>
            <w:rPr>
              <w:lang w:val="en-CA" w:eastAsia="en-CA"/>
            </w:rPr>
          </w:pPr>
          <w:r>
            <w:rPr>
              <w:lang w:val="en-CA" w:eastAsia="en-CA"/>
            </w:rPr>
            <w:t>ARTICLE III COMPENSATION AND PAYMENT TERMS</w:t>
            <w:tab/>
          </w:r>
          <w:hyperlink w:anchor="__RefHeading___Toc501258017">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3.1</w:t>
          </w:r>
          <w:r>
            <w:rPr>
              <w:lang w:val="en-CA" w:eastAsia="en-CA"/>
            </w:rPr>
            <w:tab/>
            <w:t>Development Fee.</w:t>
            <w:tab/>
          </w:r>
          <w:hyperlink w:anchor="__RefHeading___Toc501258018">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3.2</w:t>
          </w:r>
          <w:r>
            <w:rPr>
              <w:lang w:val="en-CA" w:eastAsia="en-CA"/>
            </w:rPr>
            <w:tab/>
            <w:t>Additional Compensation.</w:t>
            <w:tab/>
          </w:r>
          <w:hyperlink w:anchor="__RefHeading___Toc501258019">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3.3</w:t>
          </w:r>
          <w:r>
            <w:rPr>
              <w:lang w:val="en-CA" w:eastAsia="en-CA"/>
            </w:rPr>
            <w:tab/>
            <w:t>Payment.</w:t>
            <w:tab/>
          </w:r>
          <w:hyperlink w:anchor="__RefHeading___Toc501258020">
            <w:r>
              <w:rPr>
                <w:rStyle w:val="IndexLink"/>
                <w:lang w:val="en-CA" w:eastAsia="en-CA"/>
              </w:rPr>
              <w:t>4</w:t>
            </w:r>
          </w:hyperlink>
        </w:p>
        <w:p>
          <w:pPr>
            <w:pStyle w:val="TOC2"/>
            <w:tabs>
              <w:tab w:val="clear" w:pos="720"/>
              <w:tab w:val="left" w:pos="1680" w:leader="none"/>
              <w:tab w:val="right" w:pos="9350" w:leader="dot"/>
            </w:tabs>
            <w:rPr>
              <w:lang w:val="en-CA" w:eastAsia="en-CA"/>
            </w:rPr>
          </w:pPr>
          <w:r>
            <w:rPr>
              <w:color w:val="000000"/>
              <w:lang w:val="en-CA" w:eastAsia="en-CA"/>
            </w:rPr>
            <w:t>SECTION 3.4</w:t>
          </w:r>
          <w:r>
            <w:rPr>
              <w:lang w:val="en-CA" w:eastAsia="en-CA"/>
            </w:rPr>
            <w:tab/>
            <w:t>No Warranties.</w:t>
            <w:tab/>
          </w:r>
          <w:hyperlink w:anchor="__RefHeading___Toc501258021">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3.5</w:t>
          </w:r>
          <w:r>
            <w:rPr>
              <w:lang w:val="en-CA" w:eastAsia="en-CA"/>
            </w:rPr>
            <w:tab/>
            <w:t>Guaranty Agreement.</w:t>
            <w:tab/>
          </w:r>
          <w:hyperlink w:anchor="__RefHeading___Toc501258022">
            <w:r>
              <w:rPr>
                <w:rStyle w:val="IndexLink"/>
                <w:lang w:val="en-CA" w:eastAsia="en-CA"/>
              </w:rPr>
              <w:t>5</w:t>
            </w:r>
          </w:hyperlink>
        </w:p>
        <w:p>
          <w:pPr>
            <w:pStyle w:val="TOC2"/>
            <w:tabs>
              <w:tab w:val="clear" w:pos="720"/>
              <w:tab w:val="left" w:pos="1680" w:leader="none"/>
              <w:tab w:val="right" w:pos="9350" w:leader="dot"/>
            </w:tabs>
            <w:rPr>
              <w:lang w:val="en-CA" w:eastAsia="en-CA"/>
            </w:rPr>
          </w:pPr>
          <w:r>
            <w:rPr>
              <w:color w:val="000000"/>
              <w:lang w:val="en-CA" w:eastAsia="en-CA"/>
            </w:rPr>
            <w:t>SECTION 3.6</w:t>
          </w:r>
          <w:r>
            <w:rPr>
              <w:lang w:val="en-CA" w:eastAsia="en-CA"/>
            </w:rPr>
            <w:tab/>
            <w:t>Study Costs.</w:t>
            <w:tab/>
          </w:r>
          <w:hyperlink w:anchor="__RefHeading___Toc501258023">
            <w:r>
              <w:rPr>
                <w:rStyle w:val="IndexLink"/>
                <w:lang w:val="en-CA" w:eastAsia="en-CA"/>
              </w:rPr>
              <w:t>5</w:t>
            </w:r>
          </w:hyperlink>
        </w:p>
        <w:p>
          <w:pPr>
            <w:pStyle w:val="TOC1"/>
            <w:tabs>
              <w:tab w:val="clear" w:pos="720"/>
              <w:tab w:val="right" w:pos="9350" w:leader="dot"/>
            </w:tabs>
            <w:rPr>
              <w:lang w:val="en-CA" w:eastAsia="en-CA"/>
            </w:rPr>
          </w:pPr>
          <w:r>
            <w:rPr>
              <w:lang w:val="en-CA" w:eastAsia="en-CA"/>
            </w:rPr>
            <w:t>ARTICLE IV CONFIDENTIAL INFORMATION</w:t>
            <w:tab/>
          </w:r>
          <w:hyperlink w:anchor="__RefHeading___Toc501258024">
            <w:r>
              <w:rPr>
                <w:rStyle w:val="IndexLink"/>
                <w:lang w:val="en-CA" w:eastAsia="en-CA"/>
              </w:rPr>
              <w:t>6</w:t>
            </w:r>
          </w:hyperlink>
        </w:p>
        <w:p>
          <w:pPr>
            <w:pStyle w:val="TOC2"/>
            <w:tabs>
              <w:tab w:val="clear" w:pos="720"/>
              <w:tab w:val="left" w:pos="1680" w:leader="none"/>
              <w:tab w:val="right" w:pos="9350" w:leader="dot"/>
            </w:tabs>
            <w:rPr>
              <w:lang w:val="en-CA" w:eastAsia="en-CA"/>
            </w:rPr>
          </w:pPr>
          <w:r>
            <w:rPr>
              <w:color w:val="000000"/>
              <w:lang w:val="en-CA" w:eastAsia="en-CA"/>
            </w:rPr>
            <w:t>SECTION 4.1</w:t>
          </w:r>
          <w:r>
            <w:rPr>
              <w:lang w:val="en-CA" w:eastAsia="en-CA"/>
            </w:rPr>
            <w:tab/>
            <w:t>Confidentiality.</w:t>
            <w:tab/>
          </w:r>
          <w:hyperlink w:anchor="__RefHeading___Toc501258025">
            <w:r>
              <w:rPr>
                <w:rStyle w:val="IndexLink"/>
                <w:lang w:val="en-CA" w:eastAsia="en-CA"/>
              </w:rPr>
              <w:t>6</w:t>
            </w:r>
          </w:hyperlink>
        </w:p>
        <w:p>
          <w:pPr>
            <w:pStyle w:val="TOC1"/>
            <w:tabs>
              <w:tab w:val="clear" w:pos="720"/>
              <w:tab w:val="right" w:pos="9350" w:leader="dot"/>
            </w:tabs>
            <w:rPr>
              <w:lang w:val="en-CA" w:eastAsia="en-CA"/>
            </w:rPr>
          </w:pPr>
          <w:r>
            <w:rPr>
              <w:lang w:val="en-CA" w:eastAsia="en-CA"/>
            </w:rPr>
            <w:t>ARTICLE V TERMINATION</w:t>
            <w:tab/>
          </w:r>
          <w:hyperlink w:anchor="__RefHeading___Toc501258026">
            <w:r>
              <w:rPr>
                <w:rStyle w:val="IndexLink"/>
                <w:lang w:val="en-CA" w:eastAsia="en-CA"/>
              </w:rPr>
              <w:t>7</w:t>
            </w:r>
          </w:hyperlink>
        </w:p>
        <w:p>
          <w:pPr>
            <w:pStyle w:val="TOC2"/>
            <w:tabs>
              <w:tab w:val="clear" w:pos="720"/>
              <w:tab w:val="left" w:pos="1680" w:leader="none"/>
              <w:tab w:val="right" w:pos="9350" w:leader="dot"/>
            </w:tabs>
            <w:rPr>
              <w:lang w:val="en-CA" w:eastAsia="en-CA"/>
            </w:rPr>
          </w:pPr>
          <w:r>
            <w:rPr>
              <w:color w:val="000000"/>
              <w:lang w:val="en-CA" w:eastAsia="en-CA"/>
            </w:rPr>
            <w:t>SECTION 5.1</w:t>
          </w:r>
          <w:r>
            <w:rPr>
              <w:lang w:val="en-CA" w:eastAsia="en-CA"/>
            </w:rPr>
            <w:tab/>
            <w:t>Termination Event.</w:t>
            <w:tab/>
          </w:r>
          <w:hyperlink w:anchor="__RefHeading___Toc501258027">
            <w:r>
              <w:rPr>
                <w:rStyle w:val="IndexLink"/>
                <w:lang w:val="en-CA" w:eastAsia="en-CA"/>
              </w:rPr>
              <w:t>7</w:t>
            </w:r>
          </w:hyperlink>
        </w:p>
        <w:p>
          <w:pPr>
            <w:pStyle w:val="TOC2"/>
            <w:tabs>
              <w:tab w:val="clear" w:pos="720"/>
              <w:tab w:val="left" w:pos="1680" w:leader="none"/>
              <w:tab w:val="right" w:pos="9350" w:leader="dot"/>
            </w:tabs>
            <w:rPr>
              <w:lang w:val="en-CA" w:eastAsia="en-CA"/>
            </w:rPr>
          </w:pPr>
          <w:r>
            <w:rPr>
              <w:color w:val="000000"/>
              <w:lang w:val="en-CA" w:eastAsia="en-CA"/>
            </w:rPr>
            <w:t>SECTION 5.2</w:t>
          </w:r>
          <w:r>
            <w:rPr>
              <w:lang w:val="en-CA" w:eastAsia="en-CA"/>
            </w:rPr>
            <w:tab/>
            <w:t>No Further Obligations.</w:t>
            <w:tab/>
          </w:r>
          <w:hyperlink w:anchor="__RefHeading___Toc501258028">
            <w:r>
              <w:rPr>
                <w:rStyle w:val="IndexLink"/>
                <w:lang w:val="en-CA" w:eastAsia="en-CA"/>
              </w:rPr>
              <w:t>7</w:t>
            </w:r>
          </w:hyperlink>
        </w:p>
        <w:p>
          <w:pPr>
            <w:pStyle w:val="TOC1"/>
            <w:tabs>
              <w:tab w:val="clear" w:pos="720"/>
              <w:tab w:val="right" w:pos="9350" w:leader="dot"/>
            </w:tabs>
            <w:rPr>
              <w:lang w:val="en-CA" w:eastAsia="en-CA"/>
            </w:rPr>
          </w:pPr>
          <w:r>
            <w:rPr>
              <w:lang w:val="en-CA" w:eastAsia="en-CA"/>
            </w:rPr>
            <w:t>ARTICLE VI MISCELLANEOUS</w:t>
            <w:tab/>
          </w:r>
          <w:hyperlink w:anchor="__RefHeading___Toc501258029">
            <w:r>
              <w:rPr>
                <w:rStyle w:val="IndexLink"/>
                <w:lang w:val="en-CA" w:eastAsia="en-CA"/>
              </w:rPr>
              <w:t>8</w:t>
            </w:r>
          </w:hyperlink>
        </w:p>
        <w:p>
          <w:pPr>
            <w:pStyle w:val="TOC2"/>
            <w:tabs>
              <w:tab w:val="clear" w:pos="720"/>
              <w:tab w:val="left" w:pos="1680" w:leader="none"/>
              <w:tab w:val="right" w:pos="9350" w:leader="dot"/>
            </w:tabs>
            <w:rPr>
              <w:lang w:val="en-CA" w:eastAsia="en-CA"/>
            </w:rPr>
          </w:pPr>
          <w:r>
            <w:rPr>
              <w:color w:val="000000"/>
              <w:lang w:val="en-CA" w:eastAsia="en-CA"/>
            </w:rPr>
            <w:t>SECTION 6.1</w:t>
          </w:r>
          <w:r>
            <w:rPr>
              <w:lang w:val="en-CA" w:eastAsia="en-CA"/>
            </w:rPr>
            <w:tab/>
            <w:t>Notices.</w:t>
            <w:tab/>
          </w:r>
          <w:hyperlink w:anchor="__RefHeading___Toc501258030">
            <w:r>
              <w:rPr>
                <w:rStyle w:val="IndexLink"/>
                <w:lang w:val="en-CA" w:eastAsia="en-CA"/>
              </w:rPr>
              <w:t>8</w:t>
            </w:r>
          </w:hyperlink>
        </w:p>
        <w:p>
          <w:pPr>
            <w:pStyle w:val="TOC2"/>
            <w:tabs>
              <w:tab w:val="clear" w:pos="720"/>
              <w:tab w:val="left" w:pos="1680" w:leader="none"/>
              <w:tab w:val="right" w:pos="9350" w:leader="dot"/>
            </w:tabs>
            <w:rPr>
              <w:lang w:val="en-CA" w:eastAsia="en-CA"/>
            </w:rPr>
          </w:pPr>
          <w:r>
            <w:rPr>
              <w:color w:val="000000"/>
              <w:lang w:val="en-CA" w:eastAsia="en-CA"/>
            </w:rPr>
            <w:t>SECTION 6.2</w:t>
          </w:r>
          <w:r>
            <w:rPr>
              <w:lang w:val="en-CA" w:eastAsia="en-CA"/>
            </w:rPr>
            <w:tab/>
            <w:t>No Waiver.</w:t>
            <w:tab/>
          </w:r>
          <w:hyperlink w:anchor="__RefHeading___Toc501258031">
            <w:r>
              <w:rPr>
                <w:rStyle w:val="IndexLink"/>
                <w:lang w:val="en-CA" w:eastAsia="en-CA"/>
              </w:rPr>
              <w:t>9</w:t>
            </w:r>
          </w:hyperlink>
        </w:p>
        <w:p>
          <w:pPr>
            <w:pStyle w:val="TOC2"/>
            <w:tabs>
              <w:tab w:val="clear" w:pos="720"/>
              <w:tab w:val="left" w:pos="1680" w:leader="none"/>
              <w:tab w:val="right" w:pos="9350" w:leader="dot"/>
            </w:tabs>
            <w:rPr>
              <w:lang w:val="en-CA" w:eastAsia="en-CA"/>
            </w:rPr>
          </w:pPr>
          <w:r>
            <w:rPr>
              <w:color w:val="000000"/>
              <w:lang w:val="en-CA" w:eastAsia="en-CA"/>
            </w:rPr>
            <w:t>SECTION 6.3</w:t>
          </w:r>
          <w:r>
            <w:rPr>
              <w:lang w:val="en-CA" w:eastAsia="en-CA"/>
            </w:rPr>
            <w:tab/>
            <w:t>GOVERNING LAW.</w:t>
            <w:tab/>
          </w:r>
          <w:hyperlink w:anchor="__RefHeading___Toc501258032">
            <w:r>
              <w:rPr>
                <w:rStyle w:val="IndexLink"/>
                <w:lang w:val="en-CA" w:eastAsia="en-CA"/>
              </w:rPr>
              <w:t>9</w:t>
            </w:r>
          </w:hyperlink>
        </w:p>
        <w:p>
          <w:pPr>
            <w:pStyle w:val="TOC2"/>
            <w:tabs>
              <w:tab w:val="clear" w:pos="720"/>
              <w:tab w:val="left" w:pos="1680" w:leader="none"/>
              <w:tab w:val="right" w:pos="9350" w:leader="dot"/>
            </w:tabs>
            <w:rPr>
              <w:lang w:val="en-CA" w:eastAsia="en-CA"/>
            </w:rPr>
          </w:pPr>
          <w:r>
            <w:rPr>
              <w:color w:val="000000"/>
              <w:lang w:val="en-CA" w:eastAsia="en-CA"/>
            </w:rPr>
            <w:t>SECTION 6.4</w:t>
          </w:r>
          <w:r>
            <w:rPr>
              <w:lang w:val="en-CA" w:eastAsia="en-CA"/>
            </w:rPr>
            <w:tab/>
            <w:t>Dispute Resolution.</w:t>
            <w:tab/>
          </w:r>
          <w:hyperlink w:anchor="__RefHeading___Toc501258033">
            <w:r>
              <w:rPr>
                <w:rStyle w:val="IndexLink"/>
                <w:lang w:val="en-CA" w:eastAsia="en-CA"/>
              </w:rPr>
              <w:t>9</w:t>
            </w:r>
          </w:hyperlink>
        </w:p>
        <w:p>
          <w:pPr>
            <w:pStyle w:val="TOC2"/>
            <w:tabs>
              <w:tab w:val="clear" w:pos="720"/>
              <w:tab w:val="left" w:pos="1680" w:leader="none"/>
              <w:tab w:val="right" w:pos="9350" w:leader="dot"/>
            </w:tabs>
            <w:rPr>
              <w:lang w:val="en-CA" w:eastAsia="en-CA"/>
            </w:rPr>
          </w:pPr>
          <w:r>
            <w:rPr>
              <w:color w:val="000000"/>
              <w:lang w:val="en-CA" w:eastAsia="en-CA"/>
            </w:rPr>
            <w:t>SECTION 6.5</w:t>
          </w:r>
          <w:r>
            <w:rPr>
              <w:lang w:val="en-CA" w:eastAsia="en-CA"/>
            </w:rPr>
            <w:tab/>
            <w:t>Representatives.</w:t>
            <w:tab/>
          </w:r>
          <w:hyperlink w:anchor="__RefHeading___Toc501258034">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6.6</w:t>
          </w:r>
          <w:r>
            <w:rPr>
              <w:lang w:val="en-CA" w:eastAsia="en-CA"/>
            </w:rPr>
            <w:tab/>
            <w:t>Severability.</w:t>
            <w:tab/>
          </w:r>
          <w:hyperlink w:anchor="__RefHeading___Toc501258035">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6.7</w:t>
          </w:r>
          <w:r>
            <w:rPr>
              <w:lang w:val="en-CA" w:eastAsia="en-CA"/>
            </w:rPr>
            <w:tab/>
            <w:t>Execution in Counterparts.</w:t>
            <w:tab/>
          </w:r>
          <w:hyperlink w:anchor="__RefHeading___Toc501258036">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6.8</w:t>
          </w:r>
          <w:r>
            <w:rPr>
              <w:lang w:val="en-CA" w:eastAsia="en-CA"/>
            </w:rPr>
            <w:tab/>
            <w:t>Binding Effect; Assignment; Sole and Exclusive Remedies.</w:t>
            <w:tab/>
          </w:r>
          <w:hyperlink w:anchor="__RefHeading___Toc501258037">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6.9</w:t>
          </w:r>
          <w:r>
            <w:rPr>
              <w:lang w:val="en-CA" w:eastAsia="en-CA"/>
            </w:rPr>
            <w:tab/>
            <w:t>No Third Party Beneficiaries.</w:t>
            <w:tab/>
          </w:r>
          <w:hyperlink w:anchor="__RefHeading___Toc501258038">
            <w:r>
              <w:rPr>
                <w:rStyle w:val="IndexLink"/>
                <w:lang w:val="en-CA" w:eastAsia="en-CA"/>
              </w:rPr>
              <w:t>10</w:t>
            </w:r>
          </w:hyperlink>
        </w:p>
        <w:p>
          <w:pPr>
            <w:pStyle w:val="TOC2"/>
            <w:tabs>
              <w:tab w:val="clear" w:pos="720"/>
              <w:tab w:val="left" w:pos="1680" w:leader="none"/>
              <w:tab w:val="right" w:pos="9350" w:leader="dot"/>
            </w:tabs>
            <w:rPr>
              <w:lang w:val="en-CA" w:eastAsia="en-CA"/>
            </w:rPr>
          </w:pPr>
          <w:r>
            <w:rPr>
              <w:color w:val="000000"/>
              <w:lang w:val="en-CA" w:eastAsia="en-CA"/>
            </w:rPr>
            <w:t>SECTION 6.10</w:t>
          </w:r>
          <w:r>
            <w:rPr>
              <w:lang w:val="en-CA" w:eastAsia="en-CA"/>
            </w:rPr>
            <w:tab/>
            <w:t>Developer’s Indemnification.</w:t>
            <w:tab/>
          </w:r>
          <w:hyperlink w:anchor="__RefHeading___Toc501258039">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6.11</w:t>
          </w:r>
          <w:r>
            <w:rPr>
              <w:lang w:val="en-CA" w:eastAsia="en-CA"/>
            </w:rPr>
            <w:tab/>
            <w:t>Purchaser’s Indemnification.</w:t>
            <w:tab/>
          </w:r>
          <w:hyperlink w:anchor="__RefHeading___Toc501258040">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6.12</w:t>
          </w:r>
          <w:r>
            <w:rPr>
              <w:lang w:val="en-CA" w:eastAsia="en-CA"/>
            </w:rPr>
            <w:tab/>
            <w:t>No Consequential Damages.</w:t>
            <w:tab/>
          </w:r>
          <w:hyperlink w:anchor="__RefHeading___Toc501258041">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6.13</w:t>
          </w:r>
          <w:r>
            <w:rPr>
              <w:lang w:val="en-CA" w:eastAsia="en-CA"/>
            </w:rPr>
            <w:tab/>
            <w:t>Amendments.</w:t>
            <w:tab/>
          </w:r>
          <w:hyperlink w:anchor="__RefHeading___Toc501258042">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6.14</w:t>
          </w:r>
          <w:r>
            <w:rPr>
              <w:lang w:val="en-CA" w:eastAsia="en-CA"/>
            </w:rPr>
            <w:tab/>
            <w:t>Entire Agreement; No Representations; Competitive Activities.</w:t>
            <w:tab/>
          </w:r>
          <w:hyperlink w:anchor="__RefHeading___Toc501258043">
            <w:r>
              <w:rPr>
                <w:rStyle w:val="IndexLink"/>
                <w:lang w:val="en-CA" w:eastAsia="en-CA"/>
              </w:rPr>
              <w:t>11</w:t>
            </w:r>
          </w:hyperlink>
        </w:p>
        <w:p>
          <w:pPr>
            <w:pStyle w:val="TOC2"/>
            <w:tabs>
              <w:tab w:val="clear" w:pos="720"/>
              <w:tab w:val="left" w:pos="1680" w:leader="none"/>
              <w:tab w:val="right" w:pos="9350" w:leader="dot"/>
            </w:tabs>
            <w:rPr>
              <w:lang w:val="en-CA" w:eastAsia="en-CA"/>
            </w:rPr>
          </w:pPr>
          <w:r>
            <w:rPr>
              <w:color w:val="000000"/>
              <w:lang w:val="en-CA" w:eastAsia="en-CA"/>
            </w:rPr>
            <w:t>SECTION 6.15</w:t>
          </w:r>
          <w:r>
            <w:rPr>
              <w:lang w:val="en-CA" w:eastAsia="en-CA"/>
            </w:rPr>
            <w:tab/>
            <w:t>Brokers and Agents.</w:t>
            <w:tab/>
          </w:r>
          <w:hyperlink w:anchor="__RefHeading___Toc501258044">
            <w:r>
              <w:rPr>
                <w:rStyle w:val="IndexLink"/>
                <w:lang w:val="en-CA" w:eastAsia="en-CA"/>
              </w:rPr>
              <w:t>12</w:t>
            </w:r>
          </w:hyperlink>
        </w:p>
        <w:p>
          <w:pPr>
            <w:pStyle w:val="TOC2"/>
            <w:tabs>
              <w:tab w:val="clear" w:pos="720"/>
              <w:tab w:val="left" w:pos="1680" w:leader="none"/>
              <w:tab w:val="right" w:pos="9350" w:leader="dot"/>
            </w:tabs>
            <w:rPr>
              <w:lang w:val="en-CA" w:eastAsia="en-CA"/>
            </w:rPr>
          </w:pPr>
          <w:r>
            <w:rPr>
              <w:color w:val="000000"/>
              <w:lang w:val="en-CA" w:eastAsia="en-CA"/>
            </w:rPr>
            <w:t>SECTION 6.16</w:t>
          </w:r>
          <w:r>
            <w:rPr>
              <w:lang w:val="en-CA" w:eastAsia="en-CA"/>
            </w:rPr>
            <w:tab/>
            <w:t>Public Announcements.</w:t>
            <w:tab/>
          </w:r>
          <w:hyperlink w:anchor="__RefHeading___Toc501258045">
            <w:r>
              <w:rPr>
                <w:rStyle w:val="IndexLink"/>
                <w:lang w:val="en-CA" w:eastAsia="en-CA"/>
              </w:rPr>
              <w:t>12</w:t>
            </w:r>
          </w:hyperlink>
          <w:r>
            <w:rPr>
              <w:rStyle w:val="IndexLink"/>
              <w:lang w:val="en-CA" w:eastAsia="en-CA"/>
            </w:rPr>
            <w:fldChar w:fldCharType="end"/>
          </w:r>
        </w:p>
      </w:sdtContent>
    </w:sdt>
    <w:p>
      <w:pPr>
        <w:pStyle w:val="Normal"/>
        <w:rPr>
          <w:lang w:val="en-CA" w:eastAsia="en-CA"/>
        </w:rPr>
      </w:pPr>
      <w:r>
        <w:rPr>
          <w:lang w:val="en-CA" w:eastAsia="en-CA"/>
        </w:rPr>
      </w:r>
    </w:p>
    <w:p>
      <w:pPr>
        <w:pStyle w:val="Normal"/>
        <w:rPr/>
      </w:pPr>
      <w:r>
        <w:rPr/>
      </w:r>
    </w:p>
    <w:p>
      <w:pPr>
        <w:pStyle w:val="FootnoteText"/>
        <w:rPr/>
      </w:pPr>
      <w:r>
        <w:rPr/>
        <w:t>EXHIBIT A</w:t>
        <w:tab/>
        <w:t>Gleason Interconnection Agreement</w:t>
      </w:r>
    </w:p>
    <w:p>
      <w:pPr>
        <w:pStyle w:val="Normal"/>
        <w:rPr/>
      </w:pPr>
      <w:r>
        <w:rPr/>
        <w:t>EXHIBIT B</w:t>
        <w:tab/>
        <w:t>TVA Project Configuration Form</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CenterB"/>
        <w:rPr/>
      </w:pPr>
      <w:r>
        <w:rPr/>
        <w:t>PROJECT DEVELOPMENT AGREEMENT</w:t>
      </w:r>
    </w:p>
    <w:p>
      <w:pPr>
        <w:pStyle w:val="BodyText"/>
        <w:rPr/>
      </w:pPr>
      <w:r>
        <w:rPr/>
        <w:t>THIS PROJECT DEVELOPMENT AGREEMENT (this “</w:t>
      </w:r>
      <w:r>
        <w:rPr>
          <w:b/>
        </w:rPr>
        <w:t>Project Development Agreement</w:t>
      </w:r>
      <w:r>
        <w:rPr/>
        <w:t xml:space="preserve">”) dated as of the Effective Date, is entered into by and between </w:t>
      </w:r>
      <w:r>
        <w:rPr>
          <w:smallCaps/>
        </w:rPr>
        <w:t>AES Greystone, L.L.C.</w:t>
      </w:r>
      <w:r>
        <w:rPr/>
        <w:t>, a Delaware limited liability company (“</w:t>
      </w:r>
      <w:r>
        <w:rPr>
          <w:b/>
        </w:rPr>
        <w:t>Purchaser</w:t>
      </w:r>
      <w:r>
        <w:rPr/>
        <w:t xml:space="preserve">”), and </w:t>
      </w:r>
      <w:r>
        <w:rPr>
          <w:smallCaps/>
        </w:rPr>
        <w:t>Volunteer Land Development Company, L.L.C.</w:t>
      </w:r>
      <w:r>
        <w:rPr/>
        <w:t>, a Delaware limited liability company (“</w:t>
      </w:r>
      <w:r>
        <w:rPr>
          <w:b/>
        </w:rPr>
        <w:t>Developer</w:t>
      </w:r>
      <w:r>
        <w:rPr/>
        <w:t>”).</w:t>
      </w:r>
    </w:p>
    <w:p>
      <w:pPr>
        <w:pStyle w:val="CenterNoBNoU"/>
        <w:rPr/>
      </w:pPr>
      <w:r>
        <w:rPr/>
        <w:t>RECITALS</w:t>
      </w:r>
    </w:p>
    <w:p>
      <w:pPr>
        <w:pStyle w:val="BodyText"/>
        <w:rPr/>
      </w:pPr>
      <w:r>
        <w:rPr>
          <w:sz w:val="22"/>
        </w:rPr>
        <w:t>A.</w:t>
        <w:tab/>
      </w:r>
      <w:r>
        <w:rPr/>
        <w:t>Purchaser has entered into that certain Purchase Agreement of even date herewith pursuant to which Purchaser has a right to purchase all of the membership interests in the Company.</w:t>
      </w:r>
    </w:p>
    <w:p>
      <w:pPr>
        <w:pStyle w:val="BodyText"/>
        <w:rPr/>
      </w:pPr>
      <w:r>
        <w:rPr/>
        <w:t>B.</w:t>
        <w:tab/>
        <w:t>Purchaser desires Developer to provide certain development services for the Project, and Developer desires to provide such development services for the Project, all upon the terms and conditions set forth herein;</w:t>
      </w:r>
    </w:p>
    <w:p>
      <w:pPr>
        <w:pStyle w:val="BodyText"/>
        <w:rPr>
          <w:sz w:val="22"/>
        </w:rPr>
      </w:pPr>
      <w:r>
        <w:rPr/>
        <w:t>NOW, THEREFORE, in consideration of the premises and the mutual covenants and conditions herein granted, Purchaser and Developer do hereby covenant and agree as follows:</w:t>
      </w:r>
    </w:p>
    <w:p>
      <w:pPr>
        <w:pStyle w:val="Heading1"/>
        <w:numPr>
          <w:ilvl w:val="0"/>
          <w:numId w:val="4"/>
        </w:numPr>
        <w:ind w:hanging="720" w:start="720" w:end="0"/>
        <w:rPr/>
      </w:pPr>
      <w:r>
        <w:rPr/>
        <w:br/>
      </w:r>
      <w:bookmarkStart w:id="0" w:name="__RefHeading___Toc501258010"/>
      <w:r>
        <w:rPr/>
        <w:t>DEFINITIONS</w:t>
      </w:r>
      <w:bookmarkEnd w:id="0"/>
    </w:p>
    <w:p>
      <w:pPr>
        <w:pStyle w:val="Heading2"/>
        <w:numPr>
          <w:ilvl w:val="1"/>
          <w:numId w:val="4"/>
        </w:numPr>
        <w:rPr/>
      </w:pPr>
      <w:bookmarkStart w:id="1" w:name="__RefHeading___Toc501258011"/>
      <w:bookmarkEnd w:id="1"/>
      <w:r>
        <w:rPr>
          <w:u w:val="single"/>
        </w:rPr>
        <w:t>Definitions</w:t>
      </w:r>
      <w:r>
        <w:rPr/>
        <w:t>.</w:t>
      </w:r>
    </w:p>
    <w:p>
      <w:pPr>
        <w:pStyle w:val="BodyText"/>
        <w:rPr/>
      </w:pPr>
      <w:r>
        <w:rPr/>
        <w:t>Capitalized terms used and not defined herein shall have the meanings assigned thereto in Schedule 1 hereto for all purposes hereof.</w:t>
      </w:r>
    </w:p>
    <w:p>
      <w:pPr>
        <w:pStyle w:val="Heading2"/>
        <w:numPr>
          <w:ilvl w:val="1"/>
          <w:numId w:val="4"/>
        </w:numPr>
        <w:rPr/>
      </w:pPr>
      <w:bookmarkStart w:id="2" w:name="__RefHeading___Toc501258012"/>
      <w:bookmarkEnd w:id="2"/>
      <w:r>
        <w:rPr>
          <w:u w:val="single"/>
        </w:rPr>
        <w:t>Rules of Construction</w:t>
      </w:r>
      <w:r>
        <w:rPr/>
        <w:t>.</w:t>
      </w:r>
    </w:p>
    <w:p>
      <w:pPr>
        <w:pStyle w:val="BodyText"/>
        <w:rPr/>
      </w:pPr>
      <w:r>
        <w:rPr/>
        <w:t>The following rules of construction shall be followed when interpreting this Project Development Agreement:</w:t>
      </w:r>
    </w:p>
    <w:p>
      <w:pPr>
        <w:pStyle w:val="Heading4"/>
        <w:numPr>
          <w:ilvl w:val="3"/>
          <w:numId w:val="4"/>
        </w:numPr>
        <w:rPr/>
      </w:pPr>
      <w:r>
        <w:rPr/>
        <w:t>titles and headings are inserted for convenience of reference only and shall not be used for the purposes of construing or interpreting this Project Development Agreement;</w:t>
      </w:r>
    </w:p>
    <w:p>
      <w:pPr>
        <w:pStyle w:val="Heading4"/>
        <w:numPr>
          <w:ilvl w:val="3"/>
          <w:numId w:val="4"/>
        </w:numPr>
        <w:rPr/>
      </w:pPr>
      <w:r>
        <w:rPr/>
        <w:t>words importing the singular also include the plural and vice versa;</w:t>
      </w:r>
    </w:p>
    <w:p>
      <w:pPr>
        <w:pStyle w:val="Heading4"/>
        <w:numPr>
          <w:ilvl w:val="3"/>
          <w:numId w:val="4"/>
        </w:numPr>
        <w:rPr/>
      </w:pPr>
      <w:r>
        <w:rPr/>
        <w:t>references to natural persons or parties include firms, Entities, or any other entity having legal capacity;</w:t>
      </w:r>
    </w:p>
    <w:p>
      <w:pPr>
        <w:pStyle w:val="Heading4"/>
        <w:numPr>
          <w:ilvl w:val="3"/>
          <w:numId w:val="4"/>
        </w:numPr>
        <w:rPr/>
      </w:pPr>
      <w:r>
        <w:rPr/>
        <w:t>words importing one gender include the other gender;</w:t>
      </w:r>
    </w:p>
    <w:p>
      <w:pPr>
        <w:pStyle w:val="Heading4"/>
        <w:numPr>
          <w:ilvl w:val="3"/>
          <w:numId w:val="4"/>
        </w:numPr>
        <w:rPr>
          <w:sz w:val="22"/>
        </w:rPr>
      </w:pPr>
      <w:r>
        <w:rPr/>
        <w:t>the words “include” and its syntactical variants means “includes, but not limited to” and corresponding syntactical variant expressions</w:t>
      </w:r>
      <w:r>
        <w:rPr>
          <w:sz w:val="22"/>
        </w:rPr>
        <w:t>;</w:t>
      </w:r>
    </w:p>
    <w:p>
      <w:pPr>
        <w:pStyle w:val="Heading4"/>
        <w:numPr>
          <w:ilvl w:val="3"/>
          <w:numId w:val="4"/>
        </w:numPr>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Heading4"/>
        <w:numPr>
          <w:ilvl w:val="3"/>
          <w:numId w:val="4"/>
        </w:numPr>
        <w:rPr/>
      </w:pPr>
      <w:r>
        <w:rPr/>
        <w:t>words and abbreviations not defined in this Project Development Agreement which have well-known technical or design, engineering, or construction industry meanings are used in this Project Development Agreement in accordance with such recognized meanings;</w:t>
      </w:r>
    </w:p>
    <w:p>
      <w:pPr>
        <w:pStyle w:val="Heading4"/>
        <w:numPr>
          <w:ilvl w:val="3"/>
          <w:numId w:val="4"/>
        </w:numPr>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Heading4"/>
        <w:numPr>
          <w:ilvl w:val="3"/>
          <w:numId w:val="4"/>
        </w:numPr>
        <w:rPr/>
      </w:pPr>
      <w:r>
        <w:rPr/>
        <w:t>the terms “hereof”, “herein”, “hereto”, “hereunder” and words of similar or like import, refer to this entire Project Development Agreement and not any one particular Article, Section, Schedule, or other subdivision of this Project Development Agreement.</w:t>
      </w:r>
    </w:p>
    <w:p>
      <w:pPr>
        <w:pStyle w:val="Heading1"/>
        <w:numPr>
          <w:ilvl w:val="0"/>
          <w:numId w:val="4"/>
        </w:numPr>
        <w:ind w:hanging="720" w:start="720" w:end="0"/>
        <w:rPr/>
      </w:pPr>
      <w:r>
        <w:rPr/>
        <w:br/>
      </w:r>
      <w:bookmarkStart w:id="3" w:name="__RefHeading___Toc501258013"/>
      <w:r>
        <w:rPr/>
        <w:t>DEVELOPMENT SERVICES</w:t>
      </w:r>
      <w:bookmarkEnd w:id="3"/>
    </w:p>
    <w:p>
      <w:pPr>
        <w:pStyle w:val="Heading2"/>
        <w:numPr>
          <w:ilvl w:val="1"/>
          <w:numId w:val="4"/>
        </w:numPr>
        <w:rPr/>
      </w:pPr>
      <w:bookmarkStart w:id="4" w:name="__RefHeading___Toc501258014"/>
      <w:bookmarkEnd w:id="4"/>
      <w:r>
        <w:rPr>
          <w:u w:val="single"/>
        </w:rPr>
        <w:t>Obligations of Developer</w:t>
      </w:r>
      <w:r>
        <w:rPr/>
        <w:t>.</w:t>
      </w:r>
    </w:p>
    <w:p>
      <w:pPr>
        <w:pStyle w:val="BodyText"/>
        <w:rPr/>
      </w:pPr>
      <w:r>
        <w:rPr/>
        <w:t>Developer shall have the following obligations under this Project Development Agreement:</w:t>
      </w:r>
    </w:p>
    <w:p>
      <w:pPr>
        <w:pStyle w:val="Heading3"/>
        <w:numPr>
          <w:ilvl w:val="2"/>
          <w:numId w:val="4"/>
        </w:numPr>
        <w:rPr/>
      </w:pPr>
      <w:r>
        <w:rPr/>
        <w:t>Developer agrees to use commercially reasonable efforts to meet the Development Milestones on or before May 1, 2001; and</w:t>
      </w:r>
    </w:p>
    <w:p>
      <w:pPr>
        <w:pStyle w:val="Heading3"/>
        <w:numPr>
          <w:ilvl w:val="2"/>
          <w:numId w:val="4"/>
        </w:numPr>
        <w:rPr/>
      </w:pPr>
      <w:r>
        <w:rPr/>
        <w:t>From the Effective Date until the termination of this Project Development Agreement, Developer agrees to deliver to Purchaser copies of all written documents sent or received by Developer in pursuit of the Development Milestones (to the extent that they specifically relate to the Company or the Haywood Site), except (i) for non-material electronic-mail transmissions, (ii) for items that are publicly available (other than documents filed by Developer with Governmental Authorities following the Effective Date in pursuit of the Development Milestones), or (iii) to the extent such delivery would violate the terms of an existing confidentiality agreement provided, however, that if such a confidentiality agreement exists Developer will use reasonable efforts to (x) obtain a waiver of such confidentiality agreement or (y) in the event such waiver cannot be obtained, obtain the right to provide such documents to Purchaser under an appropriate confidentiality agreement.</w:t>
      </w:r>
    </w:p>
    <w:p>
      <w:pPr>
        <w:pStyle w:val="Heading2"/>
        <w:numPr>
          <w:ilvl w:val="1"/>
          <w:numId w:val="4"/>
        </w:numPr>
        <w:rPr/>
      </w:pPr>
      <w:bookmarkStart w:id="5" w:name="__RefHeading___Toc501258015"/>
      <w:bookmarkEnd w:id="5"/>
      <w:r>
        <w:rPr>
          <w:u w:val="single"/>
        </w:rPr>
        <w:t>Obligations of Purchaser</w:t>
      </w:r>
      <w:r>
        <w:rPr/>
        <w:t>.</w:t>
      </w:r>
    </w:p>
    <w:p>
      <w:pPr>
        <w:pStyle w:val="BodyText"/>
        <w:rPr/>
      </w:pPr>
      <w:r>
        <w:rPr/>
        <w:t>Purchaser shall have the following obligations under this Project Development Agreement:</w:t>
      </w:r>
    </w:p>
    <w:p>
      <w:pPr>
        <w:pStyle w:val="Heading3"/>
        <w:numPr>
          <w:ilvl w:val="2"/>
          <w:numId w:val="4"/>
        </w:numPr>
        <w:rPr/>
      </w:pPr>
      <w:r>
        <w:rPr/>
        <w:t>Purchaser shall use commercially reasonable efforts to cooperate with Developer in achieving the Development Milestones on or before May 1, 2001;</w:t>
      </w:r>
    </w:p>
    <w:p>
      <w:pPr>
        <w:pStyle w:val="Heading3"/>
        <w:numPr>
          <w:ilvl w:val="2"/>
          <w:numId w:val="4"/>
        </w:numPr>
        <w:rPr>
          <w:sz w:val="22"/>
        </w:rPr>
      </w:pPr>
      <w:r>
        <w:rPr/>
        <w:t>Purchaser shall pay to Developer all payments owing by Purchaser to Developer in accordance with Article III below, as and when such payments are due;</w:t>
      </w:r>
    </w:p>
    <w:p>
      <w:pPr>
        <w:pStyle w:val="Heading3"/>
        <w:numPr>
          <w:ilvl w:val="2"/>
          <w:numId w:val="4"/>
        </w:numPr>
        <w:rPr/>
      </w:pPr>
      <w:r>
        <w:rPr/>
        <w:t>Purchaser agrees to provide on or before fifteen (15)</w:t>
      </w:r>
      <w:r>
        <w:rPr>
          <w:i/>
        </w:rPr>
        <w:t xml:space="preserve"> </w:t>
      </w:r>
      <w:r>
        <w:rPr/>
        <w:t>days after the Effective Date the Base Configuration Information;</w:t>
      </w:r>
    </w:p>
    <w:p>
      <w:pPr>
        <w:pStyle w:val="Heading3"/>
        <w:numPr>
          <w:ilvl w:val="2"/>
          <w:numId w:val="4"/>
        </w:numPr>
        <w:rPr>
          <w:sz w:val="22"/>
        </w:rPr>
      </w:pPr>
      <w:r>
        <w:rPr/>
        <w:t xml:space="preserve">following Purchaser’s submission to Developer of the Base Configuration Information, Purchaser hereby agrees not to change any of the information contained in the Base Configuration Information in any manner that could, in Developer’s reasonable judgment, adversely affect Developer’s ability to achieve the Development Milestones;  </w:t>
      </w:r>
    </w:p>
    <w:p>
      <w:pPr>
        <w:pStyle w:val="Heading3"/>
        <w:numPr>
          <w:ilvl w:val="2"/>
          <w:numId w:val="4"/>
        </w:numPr>
        <w:rPr/>
      </w:pPr>
      <w:r>
        <w:rPr/>
        <w:t>Purchaser agrees (i) not to take any action that is reasonably likely to hinder, impede or delay Developer’s achievement of the Development Milestones or that could make Developer’s achievement of such Development Milestones more costly and (ii) to use commercially reasonable efforts to promptly supply to Developer follow-up information that is consistent with the Base Configuration Information which is reasonably requested by Developer (or any Governmental Authority) in connection with Developer’s pursuit of the Development Milestones;</w:t>
      </w:r>
    </w:p>
    <w:p>
      <w:pPr>
        <w:pStyle w:val="Heading3"/>
        <w:numPr>
          <w:ilvl w:val="2"/>
          <w:numId w:val="4"/>
        </w:numPr>
        <w:rPr/>
      </w:pPr>
      <w:r>
        <w:rPr/>
        <w:t xml:space="preserve">Purchaser recognizes that, except as otherwise provided in Section 3.7, Developer is the exclusive developer of the Project; </w:t>
      </w:r>
      <w:r>
        <w:rPr>
          <w:i/>
        </w:rPr>
        <w:t>provided</w:t>
      </w:r>
      <w:r>
        <w:rPr/>
        <w:t xml:space="preserve">, that Developer agrees to include representatives of Purchaser in all material meetings and discussions with third parties related to the development of the Project, including all material discussions and meetings with respect to the TVA Interconnection Agreement and related matters.  </w:t>
      </w:r>
    </w:p>
    <w:p>
      <w:pPr>
        <w:pStyle w:val="Heading3"/>
        <w:numPr>
          <w:ilvl w:val="2"/>
          <w:numId w:val="4"/>
        </w:numPr>
        <w:rPr>
          <w:sz w:val="22"/>
        </w:rPr>
      </w:pPr>
      <w:r>
        <w:rPr/>
        <w:t>in the event Purchaser purchases the Interests prior to the termination of this Project Development Agreement, all of Purchaser’s obligations pursuant to this Project Development Agreement (including 2.2(f)) shall continue in full force and effect and Purchaser agrees to cause the Company (and any subsequent purchasers and assignees of the Company) to comply with all restrictions set forth in this Section 2.2(e)-(f) as if the Company (including any subsequent purchaser or assignee) and the Purchaser were the same entity</w:t>
      </w:r>
      <w:r>
        <w:rPr>
          <w:sz w:val="22"/>
        </w:rPr>
        <w:t>.</w:t>
      </w:r>
    </w:p>
    <w:p>
      <w:pPr>
        <w:pStyle w:val="Heading2"/>
        <w:numPr>
          <w:ilvl w:val="1"/>
          <w:numId w:val="4"/>
        </w:numPr>
        <w:rPr/>
      </w:pPr>
      <w:bookmarkStart w:id="6" w:name="__RefHeading___Toc501258016"/>
      <w:bookmarkEnd w:id="6"/>
      <w:r>
        <w:rPr>
          <w:u w:val="single"/>
        </w:rPr>
        <w:t>Miscellaneous</w:t>
      </w:r>
      <w:r>
        <w:rPr/>
        <w:t>.</w:t>
      </w:r>
    </w:p>
    <w:p>
      <w:pPr>
        <w:pStyle w:val="Heading3"/>
        <w:numPr>
          <w:ilvl w:val="2"/>
          <w:numId w:val="4"/>
        </w:numPr>
        <w:rPr>
          <w:sz w:val="22"/>
        </w:rPr>
      </w:pPr>
      <w:r>
        <w:rPr/>
        <w:t>Notwithstanding Section 2.2(f) above but specifically subject to Section 2.2(e), (i) following Purchaser’s purchase of the Interests, Purchaser may hold itself out as the “owner” of the Interests so long as Purchaser does so in a manner that does not adversely affect Developer’s ability to achieve the Development Milestones and (ii) prior to Purchaser’s purchasing of the Interests, Purchaser may have direct contact with Purchaser Contact Parties as reasonably necessary in connection with the Project so long as (x) prior to any such contact each Purchaser Contact Party has executed a confidentiality agreement in a form reasonably approved by Developer and (y) all such contacts and any agreements with any Purchaser Contact Party are made by Purchaser only on behalf of Purchaser (and specifically not the Company or Developer).</w:t>
      </w:r>
    </w:p>
    <w:p>
      <w:pPr>
        <w:pStyle w:val="Heading3"/>
        <w:numPr>
          <w:ilvl w:val="2"/>
          <w:numId w:val="4"/>
        </w:numPr>
        <w:rPr>
          <w:sz w:val="22"/>
        </w:rPr>
      </w:pPr>
      <w:r>
        <w:rPr/>
        <w:t>Notwithstanding anything stated herein to the contrary, Purchaser agrees not to enter into any agreement with any third party on behalf of the Company or otherwise bind the Company without the prior written consent of Developer which may be granted or withheld by Developer in its sole discretion. Purchaser agrees to defend and indemnify Developer and the Company against any Damages suffered by Developer or the Company related to any agreement or alleged agreement entered into between the Company and any third party in violation of this Section 2.3(b). The indemnification described in the previous sentence shall expressly survive the termination of this Project Development Agreement.</w:t>
      </w:r>
    </w:p>
    <w:p>
      <w:pPr>
        <w:pStyle w:val="Heading3"/>
        <w:numPr>
          <w:ilvl w:val="2"/>
          <w:numId w:val="4"/>
        </w:numPr>
        <w:rPr>
          <w:sz w:val="22"/>
        </w:rPr>
      </w:pPr>
      <w:r>
        <w:rPr/>
        <w:t>Purchaser agrees that all information it provides to Developer or any third party in connection with the Haywood Site, the Project, or the Company (i.e. information provided to regulatory authorities regarding air permit related matters) will be factually correct in all material respects</w:t>
      </w:r>
      <w:r>
        <w:rPr>
          <w:sz w:val="22"/>
        </w:rPr>
        <w:t>.</w:t>
      </w:r>
    </w:p>
    <w:p>
      <w:pPr>
        <w:pStyle w:val="Heading1"/>
        <w:numPr>
          <w:ilvl w:val="0"/>
          <w:numId w:val="4"/>
        </w:numPr>
        <w:ind w:hanging="720" w:start="720" w:end="0"/>
        <w:rPr/>
      </w:pPr>
      <w:r>
        <w:rPr/>
        <w:br/>
      </w:r>
      <w:bookmarkStart w:id="7" w:name="__RefHeading___Toc501258017"/>
      <w:r>
        <w:rPr/>
        <w:t>COMPENSATION AND PAYMENT TERMS</w:t>
      </w:r>
      <w:bookmarkEnd w:id="7"/>
    </w:p>
    <w:p>
      <w:pPr>
        <w:pStyle w:val="Heading2"/>
        <w:numPr>
          <w:ilvl w:val="1"/>
          <w:numId w:val="4"/>
        </w:numPr>
        <w:rPr/>
      </w:pPr>
      <w:bookmarkStart w:id="8" w:name="__RefHeading___Toc501258018"/>
      <w:bookmarkEnd w:id="8"/>
      <w:r>
        <w:rPr>
          <w:u w:val="single"/>
        </w:rPr>
        <w:t>Development Fee</w:t>
      </w:r>
      <w:r>
        <w:rPr/>
        <w:t>.</w:t>
      </w:r>
    </w:p>
    <w:p>
      <w:pPr>
        <w:pStyle w:val="BodyText"/>
        <w:rPr/>
      </w:pPr>
      <w:r>
        <w:rPr/>
        <w:t>In consideration of the sum of Five Million and No/100 U.S. Dollars ($5,000,000) (“</w:t>
      </w:r>
      <w:r>
        <w:rPr>
          <w:b/>
        </w:rPr>
        <w:t>Development Fee</w:t>
      </w:r>
      <w:r>
        <w:rPr/>
        <w:t>”) to be paid by Purchaser to Developer on or before the Effective Date, Developer has hereby agreed to execute this Project Development Agreement.  Purchaser agrees that the Development Fee is hereby deemed to be fully earned by Developer and is non-refundable to Purchaser under all circumstances.  Purchaser further acknowledges that the entire Development Fee paid by Purchaser to Developer represents payment for all development and other work accomplished by Developer prior to the Effective Date and the Developer has no ongoing obligations with respect to the Development Fee.</w:t>
      </w:r>
    </w:p>
    <w:p>
      <w:pPr>
        <w:pStyle w:val="Heading2"/>
        <w:numPr>
          <w:ilvl w:val="1"/>
          <w:numId w:val="4"/>
        </w:numPr>
        <w:rPr/>
      </w:pPr>
      <w:bookmarkStart w:id="9" w:name="__RefHeading___Toc501258019"/>
      <w:bookmarkEnd w:id="9"/>
      <w:r>
        <w:rPr>
          <w:u w:val="single"/>
        </w:rPr>
        <w:t>Additional Compensation</w:t>
      </w:r>
      <w:r>
        <w:rPr/>
        <w:t>.</w:t>
      </w:r>
    </w:p>
    <w:p>
      <w:pPr>
        <w:pStyle w:val="BodyText"/>
        <w:rPr/>
      </w:pPr>
      <w:r>
        <w:rPr/>
        <w:t>In addition to the Development Fee, if the Development Milestones are achieved on or before May 1, 2001, Purchaser shall pay to Developer an amount (the “</w:t>
      </w:r>
      <w:r>
        <w:rPr>
          <w:b/>
        </w:rPr>
        <w:t>Additional Compensation</w:t>
      </w:r>
      <w:r>
        <w:rPr/>
        <w:t>”) equal to the positive difference, if any, between (1) the amount equal to 75% of the positive difference, if any, between $10,000,000 (U.S.) and the Network Upgrade Cost, and (2) an amount equal to the aggregate of the Option Consideration plus the Land Acquisition Costs.</w:t>
      </w:r>
    </w:p>
    <w:p>
      <w:pPr>
        <w:pStyle w:val="Heading2"/>
        <w:numPr>
          <w:ilvl w:val="1"/>
          <w:numId w:val="4"/>
        </w:numPr>
        <w:rPr/>
      </w:pPr>
      <w:bookmarkStart w:id="10" w:name="__RefHeading___Toc501258020"/>
      <w:bookmarkEnd w:id="10"/>
      <w:r>
        <w:rPr>
          <w:u w:val="single"/>
        </w:rPr>
        <w:t>Payment</w:t>
      </w:r>
      <w:r>
        <w:rPr/>
        <w:t>.</w:t>
      </w:r>
    </w:p>
    <w:p>
      <w:pPr>
        <w:pStyle w:val="BodyText"/>
        <w:rPr/>
      </w:pPr>
      <w:r>
        <w:rPr/>
        <w:t>All payments owing by Purchaser to Developer in accordance with the terms of this Project Development Agreement other than Study Costs (defined below) shall be paid on or before three (3) Business Days following the date Developer satisfies the Development Milestones and delivers to Purchaser notification regarding the same. All payments made by Purchaser to Developer hereunder shall be made by wire transfer of immediately available funds to the account of Developer designated in the written notice to Purchaser. The failure of Purchaser to remit full payment of any amounts due hereunder or any portion thereof (including amounts due relating to Study Costs) within the time period specified herein will subject the unpaid amount to an interest charge, calculated at the highest rate permitted by law during the period commencing from the due date up to and including the date such payment is received by Developer.</w:t>
      </w:r>
    </w:p>
    <w:p>
      <w:pPr>
        <w:pStyle w:val="Heading2"/>
        <w:numPr>
          <w:ilvl w:val="1"/>
          <w:numId w:val="4"/>
        </w:numPr>
        <w:rPr/>
      </w:pPr>
      <w:bookmarkStart w:id="11" w:name="__RefHeading___Toc501258021"/>
      <w:bookmarkEnd w:id="11"/>
      <w:r>
        <w:rPr>
          <w:u w:val="single"/>
        </w:rPr>
        <w:t>No Warranties</w:t>
      </w:r>
      <w:r>
        <w:rPr/>
        <w:t>.</w:t>
      </w:r>
    </w:p>
    <w:p>
      <w:pPr>
        <w:pStyle w:val="BodyText"/>
        <w:rPr/>
      </w:pPr>
      <w:r>
        <w:rPr/>
        <w:t>Purchaser acknowledges that Developer makes no warranties, representations or guarantees regarding any of the Development Milestones, including none regarding (a) Developer’s ability to successfully achieve any Development Milestones, (b) the actions and inactions (including the failure to fulfill contractual obligations) of TVA or other third-parties Developer and/or the Company enters into agreements with in its attempt to achieve the Development Milestones, (c) whether TVA will perform any or all of its covenants or other agreements under the TVA Interconnection Agreement or other agreements regarding the Project, or (d) whether the Network Upgrade Cost will be less than any specific amount.</w:t>
      </w:r>
    </w:p>
    <w:p>
      <w:pPr>
        <w:pStyle w:val="Heading2"/>
        <w:numPr>
          <w:ilvl w:val="1"/>
          <w:numId w:val="4"/>
        </w:numPr>
        <w:rPr/>
      </w:pPr>
      <w:bookmarkStart w:id="12" w:name="__RefHeading___Toc501258022"/>
      <w:bookmarkEnd w:id="12"/>
      <w:r>
        <w:rPr>
          <w:u w:val="single"/>
        </w:rPr>
        <w:t>Guaranty Agreement</w:t>
      </w:r>
      <w:r>
        <w:rPr/>
        <w:t>.</w:t>
      </w:r>
    </w:p>
    <w:p>
      <w:pPr>
        <w:pStyle w:val="BodyText"/>
        <w:rPr/>
      </w:pPr>
      <w:r>
        <w:rPr/>
        <w:t>Purchaser shall provide Developer with an executed Guaranty on or before the Effective Date which, among other things, will guarantee the payment of all amounts owed by Purchaser to Developer hereunder.</w:t>
      </w:r>
    </w:p>
    <w:p>
      <w:pPr>
        <w:pStyle w:val="Heading2"/>
        <w:numPr>
          <w:ilvl w:val="1"/>
          <w:numId w:val="4"/>
        </w:numPr>
        <w:rPr/>
      </w:pPr>
      <w:bookmarkStart w:id="13" w:name="__RefHeading___Toc501258023"/>
      <w:bookmarkEnd w:id="13"/>
      <w:r>
        <w:rPr>
          <w:u w:val="single"/>
        </w:rPr>
        <w:t>Study Costs</w:t>
      </w:r>
      <w:r>
        <w:rPr/>
        <w:t>.</w:t>
      </w:r>
    </w:p>
    <w:p>
      <w:pPr>
        <w:pStyle w:val="BodyText"/>
        <w:rPr/>
      </w:pPr>
      <w:r>
        <w:rPr/>
        <w:t>In connection with Developer’s efforts to achieve the Development Milestones, Purchaser acknowledges that Developer has incurred, and may be required to incur additional, costs on behalf of the Company (“</w:t>
      </w:r>
      <w:r>
        <w:rPr>
          <w:b/>
        </w:rPr>
        <w:t>Study Costs</w:t>
      </w:r>
      <w:r>
        <w:rPr/>
        <w:t>”) related to (i) obtaining a System Impact Study and (ii) obtaining a Facilities Study.  Purchaser hereby authorizes Developer to incur the additional Study Costs and agrees to reimburse Developer for all Study Costs incurred prior to the termination of this Project Development Agreement, within thirty (30) Days of Developer’s delivery to Purchaser of a written invoice for such expenses or portion thereof; provided, Purchaser shall not be required to reimburse Developer for Study Costs specifically related to obtaining the System Impact Study to the extent that they exceed $50,000 (U.S.).  Purchaser’s repayment obligation contained in this Section 3.6</w:t>
      </w:r>
      <w:r>
        <w:rPr>
          <w:i/>
        </w:rPr>
        <w:t xml:space="preserve"> </w:t>
      </w:r>
      <w:r>
        <w:rPr/>
        <w:t>shall survive the expiration or earlier termination of this Project Development Agreement.  It is anticipated that Purchaser will assume an expanded role in obtaining the Facilities Study.</w:t>
      </w:r>
    </w:p>
    <w:p>
      <w:pPr>
        <w:pStyle w:val="Heading2"/>
        <w:numPr>
          <w:ilvl w:val="1"/>
          <w:numId w:val="4"/>
        </w:numPr>
        <w:rPr/>
      </w:pPr>
      <w:r>
        <w:rPr>
          <w:u w:val="single"/>
        </w:rPr>
        <w:t>Air Permit</w:t>
      </w:r>
      <w:r>
        <w:rPr/>
        <w:t>.</w:t>
      </w:r>
    </w:p>
    <w:p>
      <w:pPr>
        <w:pStyle w:val="FootnoteText"/>
        <w:rPr/>
      </w:pPr>
      <w:r>
        <w:rPr/>
        <w:t>Except as expressly set forth herein, Developer shall not be under any obligation to pursue independently any other permits (including, without limitation, any air permit) in connection with the Project.  Purchaser shall, however, be free (at its sole cost and expense) to seek such permits and Developer agrees to provide reasonable cooperation to Purchaser in connection therewith including, until the acquisition by Purchaser of the Interests, submissions of permit applications and application amendments prepared by Purchaser, subject to Developer's consent (not to be unreasonably withheld).</w:t>
      </w:r>
    </w:p>
    <w:p>
      <w:pPr>
        <w:pStyle w:val="Heading1"/>
        <w:numPr>
          <w:ilvl w:val="0"/>
          <w:numId w:val="4"/>
        </w:numPr>
        <w:ind w:hanging="720" w:start="720" w:end="0"/>
        <w:rPr/>
      </w:pPr>
      <w:r>
        <w:rPr/>
        <w:br/>
      </w:r>
      <w:bookmarkStart w:id="14" w:name="__RefHeading___Toc501258024"/>
      <w:r>
        <w:rPr/>
        <w:t>CONFIDENTIAL INFORMATION</w:t>
      </w:r>
      <w:bookmarkEnd w:id="14"/>
    </w:p>
    <w:p>
      <w:pPr>
        <w:pStyle w:val="Heading2"/>
        <w:numPr>
          <w:ilvl w:val="1"/>
          <w:numId w:val="4"/>
        </w:numPr>
        <w:rPr/>
      </w:pPr>
      <w:bookmarkStart w:id="15" w:name="__RefHeading___Toc501258025"/>
      <w:bookmarkEnd w:id="15"/>
      <w:r>
        <w:rPr>
          <w:u w:val="single"/>
        </w:rPr>
        <w:t>Confidentiality</w:t>
      </w:r>
      <w:r>
        <w:rPr/>
        <w:t>.</w:t>
      </w:r>
    </w:p>
    <w:p>
      <w:pPr>
        <w:pStyle w:val="Heading3"/>
        <w:numPr>
          <w:ilvl w:val="2"/>
          <w:numId w:val="4"/>
        </w:numPr>
        <w:rPr/>
      </w:pPr>
      <w:r>
        <w:rPr/>
        <w:t>Purchaser and Developer recognize that as a result of this Project Development Agreement, certain Confidential Information of each party may be disclosed to the other party.</w:t>
      </w:r>
    </w:p>
    <w:p>
      <w:pPr>
        <w:pStyle w:val="Heading3"/>
        <w:numPr>
          <w:ilvl w:val="2"/>
          <w:numId w:val="4"/>
        </w:numPr>
        <w:rPr/>
      </w:pPr>
      <w:r>
        <w:rPr/>
        <w:t>Purchaser and Developer each specifically agree and acknowledge that the Confidential Information disclosed by each party pursuant to this Project Development Agreement is proprietary and confidential; that it has great value but that value may be difficult to ascertain; that it belongs exclusively to the party providing such information; that it is being shared with the other party solely for the benefit of and to promote the purposes of this Project Development Agreement; and that the receiving party will not disclose such Confidential Information disclosed pursuant to this Project Development Agreement to any person, except to its employees and Consultants with a need to have knowledge of it in the ordinary course of business until the expiration of the Confidentiality Period. Notwithstanding anything stated herein to the contrary, in the event the Purchase Agreement terminates and the Purchaser does not purchase the Interests, the Developer shall have the right to use and disclose any information (including all Confidential Information) related to the site layout, the air permit information described in Section 3.7, and/or provided to any Governmental Authority or TVA, in any manner it chooses.  The previous sentence shall not in any way otherwise affect Purchaser’s or Developer’s obligations not to disclose Confidential Information until the expiration the Confidentiality Period contained in this Article IV.</w:t>
      </w:r>
    </w:p>
    <w:p>
      <w:pPr>
        <w:pStyle w:val="Heading3"/>
        <w:numPr>
          <w:ilvl w:val="2"/>
          <w:numId w:val="4"/>
        </w:numPr>
        <w:rPr/>
      </w:pPr>
      <w:r>
        <w:rPr/>
        <w:t>Until the expiration of the Confidentiality Period, in the event either party engages Consultants that may obtain any Confidential Information, such party agrees to cause such Consultants to execute confidentiality agreements in a form reasonably approved by the other party. Additionally, any breach of any such confidentiality agreement by any Consultant or the failure of such party to obtain such confidentiality agreement shall be deemed to be a breach by such party of Section 4.1(b).</w:t>
      </w:r>
    </w:p>
    <w:p>
      <w:pPr>
        <w:pStyle w:val="Heading3"/>
        <w:numPr>
          <w:ilvl w:val="2"/>
          <w:numId w:val="4"/>
        </w:numPr>
        <w:rPr/>
      </w:pPr>
      <w:r>
        <w:rPr/>
        <w:t>Notwithstanding anything stated above, until the expiration of the Confidentiality Period, in the event that either party is required to disclose any Confidential Information provided to it by the other party (i) in connection with any judicial or administrative proceedings (by oral questions, interrogatories, requests for information or documents, subpoena, civil investigation demand or similar process) or (ii) in order, in the reasonable opinion of its outside counsel, to avoid violating the federal securities laws, it will in advance of such disclosure provide the other party with prompt notice of such requirement(s).  Each party also agrees, to the extent legally permissible, to provide the other party, in advance of any such disclosure, with copies of any Confidential Information it intends to disclose (and, if applicable, the text of the disclosure language itself) and to cooperate with the other party to the extent it may reasonably seek to limit such disclosure.</w:t>
      </w:r>
    </w:p>
    <w:p>
      <w:pPr>
        <w:pStyle w:val="Heading3"/>
        <w:numPr>
          <w:ilvl w:val="2"/>
          <w:numId w:val="4"/>
        </w:numPr>
        <w:rPr/>
      </w:pPr>
      <w:r>
        <w:rPr/>
        <w:t>Each party agrees that the other party, without prejudice to any rights to judicial relief it may otherwise have, shall be entitled to seek equitable relief, including an injunction, in the event of any breach of the provisions of this Section 4.1 and that neither party shall oppose the granting of such relief on the basis that the other party has an adequate remedy at law. Both parties also agree that they will not seek and agree to each waive any requirement for the securing or posting of a bond in connection with seeking or obtaining such relief.</w:t>
      </w:r>
    </w:p>
    <w:p>
      <w:pPr>
        <w:pStyle w:val="Heading3"/>
        <w:numPr>
          <w:ilvl w:val="2"/>
          <w:numId w:val="4"/>
        </w:numPr>
        <w:rPr/>
      </w:pPr>
      <w:r>
        <w:rPr/>
        <w:t>Notwithstanding anything stated herein to the contrary, Developer may disclose any information, including Confidential Information, to any third party to the extent reasonably required in connection with Developer’s efforts to achieve the Development Milestone.</w:t>
      </w:r>
    </w:p>
    <w:p>
      <w:pPr>
        <w:pStyle w:val="Heading1"/>
        <w:numPr>
          <w:ilvl w:val="0"/>
          <w:numId w:val="4"/>
        </w:numPr>
        <w:ind w:hanging="720" w:start="720" w:end="0"/>
        <w:rPr/>
      </w:pPr>
      <w:r>
        <w:rPr/>
        <w:br/>
      </w:r>
      <w:bookmarkStart w:id="16" w:name="__RefHeading___Toc501258026"/>
      <w:r>
        <w:rPr/>
        <w:t>TERMINATION</w:t>
      </w:r>
      <w:bookmarkEnd w:id="16"/>
    </w:p>
    <w:p>
      <w:pPr>
        <w:pStyle w:val="Heading2"/>
        <w:numPr>
          <w:ilvl w:val="1"/>
          <w:numId w:val="4"/>
        </w:numPr>
        <w:rPr/>
      </w:pPr>
      <w:bookmarkStart w:id="17" w:name="__RefHeading___Toc501258027"/>
      <w:bookmarkEnd w:id="17"/>
      <w:r>
        <w:rPr>
          <w:u w:val="single"/>
        </w:rPr>
        <w:t>Termination Event</w:t>
      </w:r>
      <w:r>
        <w:rPr/>
        <w:t>.</w:t>
      </w:r>
    </w:p>
    <w:p>
      <w:pPr>
        <w:pStyle w:val="BodyText"/>
        <w:rPr/>
      </w:pPr>
      <w:r>
        <w:rPr/>
        <w:t>This Project Development Agreement will terminate upon the earlier to occur of (i) achievement of the Development Milestones by Developer and payment in full by Purchaser of all payments owing by Purchaser to Developer pursuant to this Project Development Agreement and (ii) May 1, 2001, if the Development Milestones are not achieved on or before such date. Additionally, provided the Development Milestones have not been accomplished, this Project Development Agreement may be terminated at any time prior to May 1, 2001 as follows:</w:t>
      </w:r>
    </w:p>
    <w:p>
      <w:pPr>
        <w:pStyle w:val="Heading3"/>
        <w:numPr>
          <w:ilvl w:val="2"/>
          <w:numId w:val="4"/>
        </w:numPr>
        <w:rPr/>
      </w:pPr>
      <w:r>
        <w:rPr/>
        <w:t>by the Purchaser in the event that any material default by the Developer arising out of this Project Development Agreement remains uncured for a period of thirty (30) days following written notice by Purchaser to Developer detailing such default, provided the default has not been cured within such thirty (30) day period; or</w:t>
      </w:r>
    </w:p>
    <w:p>
      <w:pPr>
        <w:pStyle w:val="Heading3"/>
        <w:numPr>
          <w:ilvl w:val="2"/>
          <w:numId w:val="4"/>
        </w:numPr>
        <w:rPr/>
      </w:pPr>
      <w:r>
        <w:rPr/>
        <w:t>by the Developer (i) at any time if the Developer reasonably determines (after exercising commercially reasonably efforts) that achieving the Development Milestones is impossible, impractical, or otherwise commercially infeasible, (ii) in the event the Purchase Agreement terminates, or (iii) in the event that any material default by the Purchaser arising out of this Project Development Agreement remains uncured for a period of thirty (30) days following written notice by Developer to Purchaser detailing such default, provided the default has not been cured within such thirty (30) Day period.</w:t>
      </w:r>
    </w:p>
    <w:p>
      <w:pPr>
        <w:pStyle w:val="Heading2"/>
        <w:numPr>
          <w:ilvl w:val="1"/>
          <w:numId w:val="4"/>
        </w:numPr>
        <w:rPr/>
      </w:pPr>
      <w:bookmarkStart w:id="18" w:name="__RefHeading___Toc501258028"/>
      <w:bookmarkEnd w:id="18"/>
      <w:r>
        <w:rPr>
          <w:u w:val="single"/>
        </w:rPr>
        <w:t>No Further Obligations</w:t>
      </w:r>
      <w:r>
        <w:rPr/>
        <w:t>.</w:t>
      </w:r>
    </w:p>
    <w:p>
      <w:pPr>
        <w:pStyle w:val="BodyText"/>
        <w:rPr/>
      </w:pPr>
      <w:r>
        <w:rPr/>
        <w:t>Except as specifically stated above, upon the termination of this Project Development Agreement, neither party shall have any further obligations to the other by virtue of this Project Development Agreement (except with respect to obligations that are expressly to survive such termination).</w:t>
      </w:r>
    </w:p>
    <w:p>
      <w:pPr>
        <w:pStyle w:val="Heading1"/>
        <w:numPr>
          <w:ilvl w:val="0"/>
          <w:numId w:val="4"/>
        </w:numPr>
        <w:ind w:hanging="720" w:start="720" w:end="0"/>
        <w:rPr/>
      </w:pPr>
      <w:r>
        <w:rPr/>
        <w:br/>
      </w:r>
      <w:bookmarkStart w:id="19" w:name="__RefHeading___Toc501258029"/>
      <w:r>
        <w:rPr/>
        <w:t>MISCELLANEOUS</w:t>
      </w:r>
      <w:bookmarkEnd w:id="19"/>
    </w:p>
    <w:p>
      <w:pPr>
        <w:pStyle w:val="Heading2"/>
        <w:keepNext w:val="true"/>
        <w:numPr>
          <w:ilvl w:val="1"/>
          <w:numId w:val="4"/>
        </w:numPr>
        <w:rPr/>
      </w:pPr>
      <w:bookmarkStart w:id="20" w:name="__RefHeading___Toc501258030"/>
      <w:bookmarkEnd w:id="20"/>
      <w:r>
        <w:rPr>
          <w:u w:val="single"/>
        </w:rPr>
        <w:t>Notices</w:t>
      </w:r>
      <w:r>
        <w:rPr/>
        <w:t>.</w:t>
      </w:r>
    </w:p>
    <w:p>
      <w:pPr>
        <w:pStyle w:val="BodyText"/>
        <w:keepNext w:val="true"/>
        <w:rPr/>
      </w:pPr>
      <w:r>
        <w:rPr/>
        <w:t>All notices and demands provided for hereunder shall be in writing, and shall be given by telecopy (confirmed by overnight courier), air courier guaranteeing overnight delivery or personal delivery. Notice shall be sent to the following addresses:</w:t>
      </w:r>
    </w:p>
    <w:p>
      <w:pPr>
        <w:pStyle w:val="AddressforNotices"/>
        <w:rPr/>
      </w:pPr>
      <w:r>
        <w:rPr/>
        <w:t>If to Purchaser:</w:t>
      </w:r>
    </w:p>
    <w:p>
      <w:pPr>
        <w:pStyle w:val="AddressforNotices2"/>
        <w:rPr/>
      </w:pPr>
      <w:r>
        <w:rPr/>
        <w:t>AES Greystone, L.L.C.</w:t>
        <w:br/>
        <w:t>1001 North 19</w:t>
      </w:r>
      <w:r>
        <w:rPr>
          <w:vertAlign w:val="superscript"/>
        </w:rPr>
        <w:t>th</w:t>
      </w:r>
      <w:r>
        <w:rPr/>
        <w:t xml:space="preserve"> Street</w:t>
        <w:br/>
        <w:t>Arlington, VA 22209</w:t>
        <w:br/>
        <w:t>Attention:  Patricia Rollin, V.P.</w:t>
        <w:br/>
        <w:t>Telecopier:  (703)528-4510</w:t>
      </w:r>
    </w:p>
    <w:p>
      <w:pPr>
        <w:pStyle w:val="Normal"/>
        <w:rPr/>
      </w:pPr>
      <w:r>
        <w:rPr/>
      </w:r>
    </w:p>
    <w:p>
      <w:pPr>
        <w:pStyle w:val="AddressforNotices"/>
        <w:rPr/>
      </w:pPr>
      <w:r>
        <w:rPr/>
        <w:t>With a copy to:</w:t>
      </w:r>
    </w:p>
    <w:p>
      <w:pPr>
        <w:pStyle w:val="AddressforNotices2"/>
        <w:rPr/>
      </w:pPr>
      <w:r>
        <w:rPr/>
        <w:t>Hunton &amp; Williams</w:t>
        <w:br/>
        <w:t>1900 K Street NW</w:t>
        <w:br/>
        <w:t>Washington, DC 20006</w:t>
        <w:br/>
        <w:t>Attention: Michael B. Barr</w:t>
        <w:br/>
        <w:t>Telecopier:  (202)778-2201</w:t>
      </w:r>
    </w:p>
    <w:p>
      <w:pPr>
        <w:pStyle w:val="Normal"/>
        <w:rPr/>
      </w:pPr>
      <w:r>
        <w:rPr/>
      </w:r>
    </w:p>
    <w:p>
      <w:pPr>
        <w:pStyle w:val="AddressforNotices"/>
        <w:rPr/>
      </w:pPr>
      <w:r>
        <w:rPr/>
        <w:t>If to Developer:</w:t>
      </w:r>
    </w:p>
    <w:p>
      <w:pPr>
        <w:pStyle w:val="AddressforNotices2"/>
        <w:rPr/>
      </w:pPr>
      <w:r>
        <w:rPr/>
        <w:t>Volunteer Land Development Company, L.L.C.</w:t>
        <w:br/>
        <w:t>l400 Smith Street, EB 3132E</w:t>
        <w:br/>
        <w:t>Houston, Texas 77002-7361</w:t>
        <w:br/>
        <w:t>Attention: Scott Healy, Director</w:t>
        <w:br/>
        <w:t>Telecopier:  (713)646-4940</w:t>
      </w:r>
    </w:p>
    <w:p>
      <w:pPr>
        <w:pStyle w:val="Normal"/>
        <w:rPr/>
      </w:pPr>
      <w:r>
        <w:rPr/>
      </w:r>
    </w:p>
    <w:p>
      <w:pPr>
        <w:pStyle w:val="AddressforNotices"/>
        <w:rPr/>
      </w:pPr>
      <w:r>
        <w:rPr/>
        <w:t>With a copy to:</w:t>
      </w:r>
    </w:p>
    <w:p>
      <w:pPr>
        <w:pStyle w:val="AddressforNotices2"/>
        <w:rPr/>
      </w:pPr>
      <w:r>
        <w:rPr/>
        <w:t>Volunteer Land Development Company, L.L.C.</w:t>
        <w:br/>
        <w:t>l400 Smith Street, EB 3813</w:t>
        <w:br/>
        <w:t>Houston, Texas 77002</w:t>
        <w:br/>
        <w:t>Attention: Stuart Zisman</w:t>
        <w:br/>
        <w:t>Telecopier:  (713)646-3393</w:t>
      </w:r>
    </w:p>
    <w:p>
      <w:pPr>
        <w:pStyle w:val="Normal"/>
        <w:rPr/>
      </w:pPr>
      <w:r>
        <w:rPr/>
      </w:r>
    </w:p>
    <w:p>
      <w:pPr>
        <w:pStyle w:val="AddressforNotices"/>
        <w:rPr/>
      </w:pPr>
      <w:r>
        <w:rPr/>
        <w:t>with a copy to:</w:t>
      </w:r>
    </w:p>
    <w:p>
      <w:pPr>
        <w:pStyle w:val="AddressforNotices2"/>
        <w:rPr>
          <w:sz w:val="22"/>
        </w:rPr>
      </w:pPr>
      <w:r>
        <w:rPr/>
        <w:t>Bracewell &amp; Patterson, L.L.P.</w:t>
        <w:br/>
        <w:t>71l Louisiana, Suite 2900</w:t>
        <w:br/>
        <w:t>South Tower Pennzoil Place</w:t>
        <w:br/>
        <w:t>Houston, Texas 77002</w:t>
        <w:br/>
        <w:t>Attention: Clark G. Thompson, Jr.</w:t>
        <w:br/>
        <w:t>Telecopier:  (713)221-1212</w:t>
      </w:r>
    </w:p>
    <w:p>
      <w:pPr>
        <w:pStyle w:val="Normal"/>
        <w:rPr>
          <w:sz w:val="22"/>
        </w:rPr>
      </w:pPr>
      <w:r>
        <w:rPr>
          <w:sz w:val="22"/>
        </w:rPr>
      </w:r>
    </w:p>
    <w:p>
      <w:pPr>
        <w:pStyle w:val="HeadingBase"/>
        <w:rPr/>
      </w:pPr>
      <w:r>
        <w:rPr/>
        <w:t>or to such other address as the Developer or the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Heading2"/>
        <w:numPr>
          <w:ilvl w:val="1"/>
          <w:numId w:val="4"/>
        </w:numPr>
        <w:rPr/>
      </w:pPr>
      <w:bookmarkStart w:id="21" w:name="__RefHeading___Toc501258031"/>
      <w:bookmarkEnd w:id="21"/>
      <w:r>
        <w:rPr>
          <w:u w:val="single"/>
        </w:rPr>
        <w:t>No Waiver</w:t>
      </w:r>
      <w:r>
        <w:rPr/>
        <w:t>.</w:t>
      </w:r>
    </w:p>
    <w:p>
      <w:pPr>
        <w:pStyle w:val="BodyText"/>
        <w:rPr/>
      </w:pPr>
      <w:r>
        <w:rPr/>
        <w:t>No action or failure to act by any party shall constitute a waiver of any right or duty afforded any such party under this Project Development Agreement, nor shall any such action or failure to act constitute an approval of or acquiescence in any breach thereunder, except as may be specifically agreed in writing.</w:t>
      </w:r>
    </w:p>
    <w:p>
      <w:pPr>
        <w:pStyle w:val="Heading2"/>
        <w:numPr>
          <w:ilvl w:val="1"/>
          <w:numId w:val="4"/>
        </w:numPr>
        <w:rPr/>
      </w:pPr>
      <w:bookmarkStart w:id="22" w:name="__RefHeading___Toc501258032"/>
      <w:bookmarkEnd w:id="22"/>
      <w:r>
        <w:rPr>
          <w:u w:val="single"/>
        </w:rPr>
        <w:t>GOVERNING LAW</w:t>
      </w:r>
      <w:r>
        <w:rPr/>
        <w:t>.</w:t>
      </w:r>
    </w:p>
    <w:p>
      <w:pPr>
        <w:pStyle w:val="BodyText"/>
        <w:rPr/>
      </w:pPr>
      <w:r>
        <w:rPr/>
        <w:t>THIS PROJECT DEVELOPMENT AGREEMENT SHALL BE CONSTRUED IN ACCORDANCE WITH AND GOVERNED BY THE LAW OF THE STATE OF NEW YORK DETERMINED WITHOUT REFERENCE TO CONFLICTS OF LAWS.</w:t>
      </w:r>
    </w:p>
    <w:p>
      <w:pPr>
        <w:pStyle w:val="Heading2"/>
        <w:numPr>
          <w:ilvl w:val="1"/>
          <w:numId w:val="4"/>
        </w:numPr>
        <w:rPr/>
      </w:pPr>
      <w:bookmarkStart w:id="23" w:name="__RefHeading___Toc501258033"/>
      <w:bookmarkEnd w:id="23"/>
      <w:r>
        <w:rPr>
          <w:u w:val="single"/>
        </w:rPr>
        <w:t>Dispute Resolution</w:t>
      </w:r>
      <w:r>
        <w:rPr/>
        <w:t>.</w:t>
      </w:r>
    </w:p>
    <w:p>
      <w:pPr>
        <w:pStyle w:val="BodyText"/>
        <w:rPr/>
      </w:pPr>
      <w:r>
        <w:rPr/>
        <w:t>Any Dispute shall be resolved by binding arbitration in accordance with the terms hereof. Any party may, by summary proceedings, bring an action in court to compel arbitration of any Dispute. Any arbitration shall be administered by the AAA in accordance with the terms of this Section, the Commercial Arbitration Rules of the AAA, and, to the maximum extent applicable, the Federal Arbitration Act, subject to this Section 6.4. Judgment on any award rendered by an arbitrator may be entered in any court having jurisdiction. The arbitration shall be conducted by three arbitrators (collectively “</w:t>
      </w:r>
      <w:r>
        <w:rPr>
          <w:b/>
        </w:rPr>
        <w:t>Arbitrators</w:t>
      </w:r>
      <w:r>
        <w:rPr/>
        <w:t>”), one chosen by each party (each, a “</w:t>
      </w:r>
      <w:r>
        <w:rPr>
          <w:b/>
        </w:rPr>
        <w:t>Party Arbitrator</w:t>
      </w:r>
      <w:r>
        <w:rPr/>
        <w:t>”) and the third, the chief arbitrator, chosen by the Party Arbitrators. In issuing a judgment, each Arbitrator will select either the position put forward by Purchaser or the position put forward by Developer, whichever position such Arbitrator deems to be the most correct according to the terms of this Project Development Agreement, with no compromise. The Party Arbitrators may consult with their principals on any question. If at least two Arbitrators agree and so order it, the losing party will pay the reasonable legal fees and costs incurred by the other party with respect to the arbitration. Arbitration proceedings hereunder shall be conducted a in mutually agreeable location. Each proceeding shall be concluded within 180 days of the filing of the Dispute with the AAA. The Arbitrators shall be empowered to award sanctions and to take such other actions as he or she deems necessary, to the same extent a judge could impose sanctions or take such other actions pursuant to the Federal Rules of Civil Procedure and applicable law.  No award by the Arbitrators shall assess Consequential Damages.  The Arbitrators shall make specific written findings of fact and conclusions of law.  The decision of the Arbitrators shall be final and binding on each party.</w:t>
      </w:r>
    </w:p>
    <w:p>
      <w:pPr>
        <w:pStyle w:val="Heading2"/>
        <w:numPr>
          <w:ilvl w:val="1"/>
          <w:numId w:val="4"/>
        </w:numPr>
        <w:rPr/>
      </w:pPr>
      <w:bookmarkStart w:id="24" w:name="__RefHeading___Toc501258034"/>
      <w:bookmarkEnd w:id="24"/>
      <w:r>
        <w:rPr>
          <w:u w:val="single"/>
        </w:rPr>
        <w:t>Representatives</w:t>
      </w:r>
      <w:r>
        <w:rPr/>
        <w:t>.</w:t>
      </w:r>
    </w:p>
    <w:p>
      <w:pPr>
        <w:pStyle w:val="BodyText"/>
        <w:rPr/>
      </w:pPr>
      <w:r>
        <w:rPr/>
        <w:t>Purchaser and Developer shall each designate from time to time in writing a representative (“</w:t>
      </w:r>
      <w:r>
        <w:rPr>
          <w:b/>
        </w:rPr>
        <w:t>Representative</w:t>
      </w:r>
      <w:r>
        <w:rPr/>
        <w:t>”) with whom the other party may inquire and receive approvals and who shall have full authority to act on behalf of such party for all purposes in connection with this Project Development Agreement. The initial Representatives of Purchaser and Developer shall be Patricia Rollin and Scott Healy, respectively.</w:t>
      </w:r>
    </w:p>
    <w:p>
      <w:pPr>
        <w:pStyle w:val="Heading2"/>
        <w:numPr>
          <w:ilvl w:val="1"/>
          <w:numId w:val="4"/>
        </w:numPr>
        <w:rPr/>
      </w:pPr>
      <w:bookmarkStart w:id="25" w:name="__RefHeading___Toc501258035"/>
      <w:bookmarkEnd w:id="25"/>
      <w:r>
        <w:rPr>
          <w:u w:val="single"/>
        </w:rPr>
        <w:t>Severability</w:t>
      </w:r>
      <w:r>
        <w:rPr/>
        <w:t>.</w:t>
      </w:r>
    </w:p>
    <w:p>
      <w:pPr>
        <w:pStyle w:val="BodyText"/>
        <w:rPr/>
      </w:pPr>
      <w:r>
        <w:rPr/>
        <w:t>If any of the provisions, or portions or applications thereof, of this Project Development Agreement are held to be unenforceable or invalid by any court of competent jurisdiction, the Purchaser and Developer shall negotiate an equitable adjustment in the provisions of this Project Development Agreement with a view toward effecting the purposes of this Project Development Agreement, and the validity and enforceability of the remaining provisions or portions, or applications thereof, shall not be affected thereby.</w:t>
      </w:r>
    </w:p>
    <w:p>
      <w:pPr>
        <w:pStyle w:val="Heading2"/>
        <w:numPr>
          <w:ilvl w:val="1"/>
          <w:numId w:val="4"/>
        </w:numPr>
        <w:rPr/>
      </w:pPr>
      <w:bookmarkStart w:id="26" w:name="__RefHeading___Toc501258036"/>
      <w:bookmarkEnd w:id="26"/>
      <w:r>
        <w:rPr>
          <w:u w:val="single"/>
        </w:rPr>
        <w:t>Execution in Counterparts</w:t>
      </w:r>
      <w:r>
        <w:rPr/>
        <w:t>.</w:t>
      </w:r>
    </w:p>
    <w:p>
      <w:pPr>
        <w:pStyle w:val="BodyText"/>
        <w:rPr/>
      </w:pPr>
      <w:r>
        <w:rPr/>
        <w:t>This Project Development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Project Development Agreement.</w:t>
      </w:r>
    </w:p>
    <w:p>
      <w:pPr>
        <w:pStyle w:val="Heading2"/>
        <w:numPr>
          <w:ilvl w:val="1"/>
          <w:numId w:val="4"/>
        </w:numPr>
        <w:rPr/>
      </w:pPr>
      <w:bookmarkStart w:id="27" w:name="__RefHeading___Toc501258037"/>
      <w:bookmarkEnd w:id="27"/>
      <w:r>
        <w:rPr>
          <w:u w:val="single"/>
        </w:rPr>
        <w:t>Binding Effect; Assignment; Sole and Exclusive Remedies</w:t>
      </w:r>
      <w:r>
        <w:rPr/>
        <w:t>.</w:t>
      </w:r>
    </w:p>
    <w:p>
      <w:pPr>
        <w:pStyle w:val="BodyText"/>
        <w:rPr/>
      </w:pPr>
      <w:r>
        <w:rPr/>
        <w:t>This Project Development Agreement shall be binding upon the Developer and the Purchaser, and their respective successors and permitted assigns. The Developer may not assign its rights and obligations under this Project Development Agreement to any other Person other than an Affiliate of Developer without the prior written consent of the other party. The Purchaser may not assign any or all of its rights, privileges and obligations hereunder to any Person other than to an Affiliate of Purchaser without the prior written consent of the Developer. No assignment by either party shall operate to relieve any guarantor of such assigning party of any of its obligations pursuant to the Guaranty. Notwithstanding anything stated herein to the contrary, the remedies provided for herein are the sole and exclusive remedies available to the Developer or the Purchaser as a result of, caused by, arising out of, or in any way relating to any breach of any representation or warranty, or nonfulfillment of any agreement or covenant on the part of either party under this Project Development Agreement and Developer and Purchaser hereby waive any other remedies at law or in equity or otherwise.</w:t>
      </w:r>
    </w:p>
    <w:p>
      <w:pPr>
        <w:pStyle w:val="Heading2"/>
        <w:numPr>
          <w:ilvl w:val="1"/>
          <w:numId w:val="4"/>
        </w:numPr>
        <w:rPr/>
      </w:pPr>
      <w:bookmarkStart w:id="28" w:name="__RefHeading___Toc501258038"/>
      <w:bookmarkEnd w:id="28"/>
      <w:r>
        <w:rPr>
          <w:u w:val="single"/>
        </w:rPr>
        <w:t>No Third Party Beneficiaries</w:t>
      </w:r>
      <w:r>
        <w:rPr/>
        <w:t>.</w:t>
      </w:r>
    </w:p>
    <w:p>
      <w:pPr>
        <w:pStyle w:val="BodyText"/>
        <w:rPr/>
      </w:pPr>
      <w:r>
        <w:rPr/>
        <w:t>This Project Development Agreement is for the sole and exclusive benefit of the Purchaser and Developer and shall not be deemed to stipulate any benefit or create a cause of action for third parties.</w:t>
      </w:r>
    </w:p>
    <w:p>
      <w:pPr>
        <w:pStyle w:val="Heading2"/>
        <w:numPr>
          <w:ilvl w:val="1"/>
          <w:numId w:val="4"/>
        </w:numPr>
        <w:rPr/>
      </w:pPr>
      <w:bookmarkStart w:id="29" w:name="__RefHeading___Toc501258039"/>
      <w:bookmarkEnd w:id="29"/>
      <w:r>
        <w:rPr>
          <w:u w:val="single"/>
        </w:rPr>
        <w:t>Developer’s Indemnification</w:t>
      </w:r>
      <w:r>
        <w:rPr/>
        <w:t>.</w:t>
      </w:r>
    </w:p>
    <w:p>
      <w:pPr>
        <w:pStyle w:val="BodyText"/>
        <w:rPr/>
      </w:pPr>
      <w:r>
        <w:rPr/>
        <w:t>The Developer shall indemnify and hold the Purchaser, its Affiliates, agents, employees, contractors and other representatives (“</w:t>
      </w:r>
      <w:r>
        <w:rPr>
          <w:b/>
        </w:rPr>
        <w:t>Purchaser Related Parties</w:t>
      </w:r>
      <w:r>
        <w:rPr/>
        <w:t>”)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b/>
        </w:rPr>
        <w:t>Damages</w:t>
      </w:r>
      <w:r>
        <w:rPr/>
        <w:t>”), suffered by the Purchaser Related Parties as a result of, caused by, arising out of, or in any way relating to, Developer Related Parties breach of any representation or warranty, nonfulfillment of any agreement or covenant on the part of the Developer under this Project Development Agreement. The provisions of this Section shall expressly survive the termination of the Project Development Agreement.</w:t>
      </w:r>
    </w:p>
    <w:p>
      <w:pPr>
        <w:pStyle w:val="Heading2"/>
        <w:numPr>
          <w:ilvl w:val="1"/>
          <w:numId w:val="4"/>
        </w:numPr>
        <w:rPr/>
      </w:pPr>
      <w:bookmarkStart w:id="30" w:name="__RefHeading___Toc501258040"/>
      <w:bookmarkEnd w:id="30"/>
      <w:r>
        <w:rPr>
          <w:u w:val="single"/>
        </w:rPr>
        <w:t>Purchaser’s Indemnification</w:t>
      </w:r>
      <w:r>
        <w:rPr/>
        <w:t>.</w:t>
      </w:r>
    </w:p>
    <w:p>
      <w:pPr>
        <w:pStyle w:val="BodyText"/>
        <w:rPr/>
      </w:pPr>
      <w:r>
        <w:rPr/>
        <w:t>The Purchaser shall indemnify and hold the Developer, its Affiliates, agents, employees, contractors and other representatives (“</w:t>
      </w:r>
      <w:r>
        <w:rPr>
          <w:b/>
        </w:rPr>
        <w:t>Developer Related Parties</w:t>
      </w:r>
      <w:r>
        <w:rPr/>
        <w:t>”) harmless from and against any and all Damages suffered by the Developer Related Parties as a result of, cause by, arising out of, or in any way relating to, Purchaser’s Related Parties breach of any representation or warranty, nonfulfillment of any agreement or covenant on the part of the Purchaser under this Project Development Agreement. The provisions of this Section shall expressly survive the termination of the Project Development Agreement.</w:t>
      </w:r>
    </w:p>
    <w:p>
      <w:pPr>
        <w:pStyle w:val="Heading2"/>
        <w:numPr>
          <w:ilvl w:val="1"/>
          <w:numId w:val="4"/>
        </w:numPr>
        <w:rPr/>
      </w:pPr>
      <w:bookmarkStart w:id="31" w:name="__RefHeading___Toc501258041"/>
      <w:bookmarkEnd w:id="31"/>
      <w:r>
        <w:rPr>
          <w:u w:val="single"/>
        </w:rPr>
        <w:t>No Consequential Damages</w:t>
      </w:r>
      <w:r>
        <w:rPr/>
        <w:t>.</w:t>
      </w:r>
    </w:p>
    <w:p>
      <w:pPr>
        <w:pStyle w:val="BodyText"/>
        <w:rPr/>
      </w:pPr>
      <w:r>
        <w:rPr/>
        <w:t>Without affecting the rights of the Purchaser or Developer to recovery of actual, direct Damages, under no circumstances shall either party be liable for Consequential Damages resulting from any cause whatsoever, whether arising in contract, warranty, tort (including negligence), strict liability, indemnity or otherwise. It is expressly agreed that no failure by a party to fulfill any condition hereof shall constitute a failure of essential purpose entitling the other party to Consequential Damages. The provisions of this Section shall expressly survive the termination of the Project Development Agreement.</w:t>
      </w:r>
    </w:p>
    <w:p>
      <w:pPr>
        <w:pStyle w:val="Heading2"/>
        <w:numPr>
          <w:ilvl w:val="1"/>
          <w:numId w:val="4"/>
        </w:numPr>
        <w:rPr/>
      </w:pPr>
      <w:bookmarkStart w:id="32" w:name="__RefHeading___Toc501258042"/>
      <w:bookmarkEnd w:id="32"/>
      <w:r>
        <w:rPr>
          <w:u w:val="single"/>
        </w:rPr>
        <w:t>Amendments</w:t>
      </w:r>
      <w:r>
        <w:rPr/>
        <w:t>.</w:t>
      </w:r>
    </w:p>
    <w:p>
      <w:pPr>
        <w:pStyle w:val="BodyText"/>
        <w:rPr/>
      </w:pPr>
      <w:r>
        <w:rPr/>
        <w:t>No change, amendment or modification of this Project Development Agreement shall be valid or binding upon the Purchaser or Developer unless such change, amendment or modification shall be in writing and duly executed by the Purchaser and Developer.</w:t>
      </w:r>
    </w:p>
    <w:p>
      <w:pPr>
        <w:pStyle w:val="Heading2"/>
        <w:numPr>
          <w:ilvl w:val="1"/>
          <w:numId w:val="4"/>
        </w:numPr>
        <w:rPr/>
      </w:pPr>
      <w:bookmarkStart w:id="33" w:name="__RefHeading___Toc501258043"/>
      <w:bookmarkEnd w:id="33"/>
      <w:r>
        <w:rPr>
          <w:u w:val="single"/>
        </w:rPr>
        <w:t>Entire Agreement; No Representations; Competitive Activities</w:t>
      </w:r>
      <w:r>
        <w:rPr/>
        <w:t>.</w:t>
      </w:r>
    </w:p>
    <w:p>
      <w:pPr>
        <w:pStyle w:val="Heading3"/>
        <w:numPr>
          <w:ilvl w:val="2"/>
          <w:numId w:val="4"/>
        </w:numPr>
        <w:rPr/>
      </w:pPr>
      <w:r>
        <w:rPr/>
        <w:t>This Project Development Agreement and the Purchase Agreement constitute the entire agreement and understanding between the Developer and the Purchaser related to the subject matter hereof and supersede any prior agreement, document or understanding related to the subject matter hereof.</w:t>
      </w:r>
    </w:p>
    <w:p>
      <w:pPr>
        <w:pStyle w:val="Heading3"/>
        <w:numPr>
          <w:ilvl w:val="2"/>
          <w:numId w:val="4"/>
        </w:numPr>
        <w:rPr/>
      </w:pPr>
      <w:r>
        <w:rPr/>
        <w:t>PURCHASER AGREES THAT (i) DEVELOPER HAS MADE NO REPRESENTATIONS, WARRANTIES, COVENANTS OR AGREEMENTS TO OR WITH PURCHASER RELATING TO THE TRANSACTIONS CONTEMPLATED HEREBY, OTHER THAN THOSE EXPRESSLY SET FORTH IN THIS PROJECT DEVELOPMENT AGREEMENT AND (ii) PURCHASER HAS NOT RELIED UPON ANY REPRESENTATIONS, WARRANTIES, COVENANTS OR AGREEMENTS RELATING TO THE TRANSACTIONS CONTEMPLATED HEREBY, OTHER THAN THOSE EXPRESSLY SET FORTH IN THIS PROJECT DEVELOPMENT AGREEMENT.</w:t>
      </w:r>
    </w:p>
    <w:p>
      <w:pPr>
        <w:pStyle w:val="Heading3"/>
        <w:numPr>
          <w:ilvl w:val="2"/>
          <w:numId w:val="4"/>
        </w:numPr>
        <w:rPr/>
      </w:pPr>
      <w:r>
        <w:rPr/>
        <w:t xml:space="preserve">For the period commencing on the Effective Date and terminating on the earlier to occur of (i) the termination of this Project Development Agreement or the Purchase Agreement in the event that Purchaser does not purchase the Interests or (ii) September 1, 2002, Developer (including its subsidiaries but only to the extent that Developer owns greater than 50% of the voting securities of such subsidiaries) agrees not to pursue for its own account the development or acquisition of any power generation project (except for any transaction pursuant to which such power generation project is purely incidental to the overall transaction and is not a material part of the assets being acquired or merged in such transaction) where the point of interconnection of such project to TVA’s Shelby to Weakley 500 kV transmission line is located in Haywood County, Tennessee. </w:t>
      </w:r>
    </w:p>
    <w:p>
      <w:pPr>
        <w:pStyle w:val="Heading3"/>
        <w:numPr>
          <w:ilvl w:val="2"/>
          <w:numId w:val="4"/>
        </w:numPr>
        <w:rPr/>
      </w:pPr>
      <w:r>
        <w:rPr/>
        <w:t>PURCHASER ACKNOWLEDGES THAT PURCHASER’S ENGAGEMENT OF DEVELOPER PURSUANT TO THIS PROJECT DEVELOPMENT AGREEMENT IS NON-EXCLUSIVE WITH RESPECT TO PROJECTS THE DEVELOPER IS OR WILL BECOME INVOLVED WITH AND DEVELOPER MAY, NOTWITHSTANDING THIS PROJECT DEVELOPMENT AGREEMENT, ENGAGE IN WHATEVER ACTIVITIES IT CHOOSES (INCLUDING DEVELOPMENT ACTIVITIES OR POWER PROJECTS) EXCEPT AS SPECIFICALLY PROVIDED IN SECTION 6.14(C), REGARDLESS OF WHETHER THE SAME ARE COMPETITIVE WITH THE PURCHASER, WITHOUT HAVING OR INCURRING ANY OBLIGATION TO DISCLOSE SUCH ACTIVITIES TO PURCHASER OR TO OFFER TO PURCHASER ANY INTEREST IN SUCH ACTIVITIES. NEITHER THIS PROJECT DEVELOPMENT AGREEMENT NOR ANY ACTIVITY UNDERTAKEN PURSUANT HERETO SHALL PREVENT DEVELOPER FROM ENGAGING IN SUCH ACTIVITIES, OR REQUIRE DEVELOPER TO DISCLOSE SUCH PARTICIPATION TO PURCHASER, AND AS A MATERIAL PART OF THE CONSIDERATION FOR THE EXECUTION OF THIS PROJECT DEVELOPMENT AGREEMENT BY DEVELOPER, PURCHASER HEREBY WAIVES, RELINQUISHES, AND RENOUNCES ANY SUCH RIGHT OR CLAIM OF NOTICE OR PARTICIPATION IN SUCH ACTIVITIES.</w:t>
      </w:r>
    </w:p>
    <w:p>
      <w:pPr>
        <w:pStyle w:val="Heading2"/>
        <w:numPr>
          <w:ilvl w:val="1"/>
          <w:numId w:val="4"/>
        </w:numPr>
        <w:rPr/>
      </w:pPr>
      <w:bookmarkStart w:id="34" w:name="__RefHeading___Toc501258044"/>
      <w:bookmarkEnd w:id="34"/>
      <w:r>
        <w:rPr>
          <w:u w:val="single"/>
        </w:rPr>
        <w:t>Brokers and Agents</w:t>
      </w:r>
      <w:r>
        <w:rPr/>
        <w:t>.</w:t>
      </w:r>
    </w:p>
    <w:p>
      <w:pPr>
        <w:pStyle w:val="BodyText"/>
        <w:rPr/>
      </w:pPr>
      <w:r>
        <w:rPr/>
        <w:t>Each party to this Project Development Agreement agrees to indemnify the other party hereto against all Damages arising out of claims for fees or commissions or brokers employed or alleged to have been employed by such indemnifying party.</w:t>
      </w:r>
    </w:p>
    <w:p>
      <w:pPr>
        <w:pStyle w:val="Heading2"/>
        <w:numPr>
          <w:ilvl w:val="1"/>
          <w:numId w:val="4"/>
        </w:numPr>
        <w:rPr/>
      </w:pPr>
      <w:bookmarkStart w:id="35" w:name="__RefHeading___Toc501258045"/>
      <w:bookmarkEnd w:id="35"/>
      <w:r>
        <w:rPr>
          <w:u w:val="single"/>
        </w:rPr>
        <w:t>Public Announcements</w:t>
      </w:r>
      <w:r>
        <w:rPr/>
        <w:t>.</w:t>
      </w:r>
    </w:p>
    <w:p>
      <w:pPr>
        <w:pStyle w:val="BodyText"/>
        <w:rPr/>
      </w:pPr>
      <w:r>
        <w:rPr/>
        <w:t>The Purchaser and Developer agree to consult with each other regarding any public announcement or statement with respect to this Project Development Agreement or the transactions contemplated hereby and no party shall issue any public announcement or other statement with respect to the existence of this Project Development Agreement or the transactions contemplated hereby without the prior consent, which shall not be withheld unreasonably, of the other party, unless required by applicable law or regulation or order of a court of competent jurisdiction.</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sz w:val="16"/>
        </w:rPr>
      </w:pPr>
      <w:r>
        <w:rPr>
          <w:sz w:val="16"/>
        </w:rPr>
        <w:t>[REMAINDER OF PAGE INTENTIONALLY LEFT BLANK]</w:t>
      </w:r>
    </w:p>
    <w:p>
      <w:pPr>
        <w:pStyle w:val="BodyText"/>
        <w:rPr>
          <w:sz w:val="16"/>
        </w:rPr>
      </w:pPr>
      <w:r>
        <w:rPr>
          <w:sz w:val="16"/>
        </w:rPr>
      </w:r>
    </w:p>
    <w:p>
      <w:pPr>
        <w:pStyle w:val="BodyText"/>
        <w:rPr>
          <w:sz w:val="16"/>
        </w:rPr>
      </w:pPr>
      <w:r>
        <w:rPr>
          <w:sz w:val="16"/>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sz w:val="16"/>
        </w:rPr>
      </w:pPr>
      <w:r>
        <w:rPr>
          <w:sz w:val="16"/>
        </w:rPr>
      </w:r>
    </w:p>
    <w:p>
      <w:pPr>
        <w:pStyle w:val="BodyText"/>
        <w:ind w:firstLine="720" w:end="0"/>
        <w:rPr/>
      </w:pPr>
      <w:r>
        <w:rPr/>
        <w:t>IN WITNESS WHEREOF, the parties hereto execute this Project Development Agreement, effective as of the Effective Date.</w:t>
      </w:r>
    </w:p>
    <w:p>
      <w:pPr>
        <w:pStyle w:val="Signature"/>
        <w:rPr/>
      </w:pPr>
      <w:r>
        <w:rPr/>
        <w:t>Purchaser:</w:t>
      </w:r>
    </w:p>
    <w:p>
      <w:pPr>
        <w:pStyle w:val="Normal"/>
        <w:rPr/>
      </w:pPr>
      <w:r>
        <w:rPr/>
      </w:r>
    </w:p>
    <w:p>
      <w:pPr>
        <w:pStyle w:val="Sign1Line1"/>
        <w:rPr/>
      </w:pPr>
      <w:r>
        <w:rPr/>
        <w:t>AES Greystone, L.L.C.</w:t>
      </w:r>
    </w:p>
    <w:p>
      <w:pPr>
        <w:pStyle w:val="Sign1Line2"/>
        <w:rPr/>
      </w:pPr>
      <w:r>
        <w:rPr/>
        <w:t>By:</w:t>
        <w:tab/>
      </w:r>
      <w:r>
        <w:rPr>
          <w:u w:val="single"/>
        </w:rPr>
        <w:tab/>
        <w:tab/>
      </w:r>
    </w:p>
    <w:p>
      <w:pPr>
        <w:pStyle w:val="Sign1Line2"/>
        <w:ind w:start="4680" w:end="0"/>
        <w:rPr/>
      </w:pPr>
      <w:r>
        <w:rPr/>
        <w:t xml:space="preserve">Name: </w:t>
        <w:br/>
        <w:t>Title:</w:t>
      </w:r>
    </w:p>
    <w:p>
      <w:pPr>
        <w:pStyle w:val="Signature"/>
        <w:rPr/>
      </w:pPr>
      <w:r>
        <w:rPr/>
      </w:r>
    </w:p>
    <w:p>
      <w:pPr>
        <w:pStyle w:val="Signature"/>
        <w:rPr/>
      </w:pPr>
      <w:r>
        <w:rPr/>
      </w:r>
    </w:p>
    <w:p>
      <w:pPr>
        <w:pStyle w:val="Signature"/>
        <w:rPr/>
      </w:pPr>
      <w:r>
        <w:rPr/>
        <w:t>Seller:</w:t>
      </w:r>
    </w:p>
    <w:p>
      <w:pPr>
        <w:pStyle w:val="Signature"/>
        <w:rPr/>
      </w:pPr>
      <w:r>
        <w:rPr/>
      </w:r>
    </w:p>
    <w:p>
      <w:pPr>
        <w:pStyle w:val="Sign1Line1"/>
        <w:rPr/>
      </w:pPr>
      <w:r>
        <w:rPr/>
        <w:t>Volunteer Land Development Company, L.L.C.</w:t>
      </w:r>
    </w:p>
    <w:p>
      <w:pPr>
        <w:pStyle w:val="Sign1Line2"/>
        <w:rPr/>
      </w:pPr>
      <w:r>
        <w:rPr/>
        <w:t>By:</w:t>
        <w:tab/>
      </w:r>
      <w:r>
        <w:rPr>
          <w:u w:val="single"/>
        </w:rPr>
        <w:tab/>
        <w:tab/>
      </w:r>
    </w:p>
    <w:p>
      <w:pPr>
        <w:pStyle w:val="Sign1Line2"/>
        <w:ind w:start="4680" w:end="0"/>
        <w:rPr/>
      </w:pPr>
      <w:r>
        <w:rPr/>
        <w:t xml:space="preserve">Name: </w:t>
        <w:br/>
        <w:t>Title: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CenterB"/>
        <w:rPr/>
      </w:pPr>
      <w:r>
        <w:rPr/>
        <w:t>SCHEDULE 1</w:t>
      </w:r>
    </w:p>
    <w:p>
      <w:pPr>
        <w:pStyle w:val="CenterB"/>
        <w:rPr>
          <w:smallCaps/>
        </w:rPr>
      </w:pPr>
      <w:r>
        <w:rPr>
          <w:smallCaps/>
        </w:rPr>
        <w:t>DEFINITIONS</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Normal"/>
        <w:rPr>
          <w:smallCaps/>
        </w:rPr>
      </w:pPr>
      <w:r>
        <w:rPr>
          <w:smallCaps/>
        </w:rPr>
      </w:r>
    </w:p>
    <w:p>
      <w:pPr>
        <w:pStyle w:val="CenterB"/>
        <w:rPr/>
      </w:pPr>
      <w:r>
        <w:rPr/>
        <w:t>EXHIBIT A</w:t>
      </w:r>
    </w:p>
    <w:p>
      <w:pPr>
        <w:pStyle w:val="CenterB"/>
        <w:rPr/>
      </w:pPr>
      <w:r>
        <w:rPr/>
        <w:t>GLEASON INTERCONNECTION AGREEMENT</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r>
    </w:p>
    <w:p>
      <w:pPr>
        <w:pStyle w:val="CenterB"/>
        <w:rPr/>
      </w:pPr>
      <w:r>
        <w:rPr/>
        <w:t>EXHIBIT B</w:t>
      </w:r>
    </w:p>
    <w:p>
      <w:pPr>
        <w:pStyle w:val="CenterB"/>
        <w:rPr/>
      </w:pPr>
      <w:r>
        <w:rPr/>
        <w:t>TVA PROJECT CONFIGURATION FORM</w:t>
      </w:r>
    </w:p>
    <w:p>
      <w:pPr>
        <w:pStyle w:val="Normal"/>
        <w:rPr/>
      </w:pPr>
      <w:r>
        <w:rPr/>
      </w:r>
    </w:p>
    <w:p>
      <w:pPr>
        <w:pStyle w:val="Normal"/>
        <w:rPr/>
      </w:pPr>
      <w:r>
        <w:rPr/>
      </w:r>
    </w:p>
    <w:p>
      <w:pPr>
        <w:pStyle w:val="Normal"/>
        <w:rPr/>
      </w:pPr>
      <w:r>
        <w:rPr/>
      </w:r>
    </w:p>
    <w:p>
      <w:pPr>
        <w:pStyle w:val="Normal"/>
        <w:rPr/>
      </w:pPr>
      <w:r>
        <w:rPr/>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b/>
        <w:sz w:val="20"/>
      </w:rPr>
    </w:pPr>
    <w:r>
      <w:rPr>
        <w:b/>
        <w:sz w:val="20"/>
      </w:rPr>
      <w:t>1197465V4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b/>
        <w:sz w:val="20"/>
      </w:rPr>
      <w:t>1197465V4</w:t>
    </w:r>
    <w:r>
      <w:rPr>
        <w:sz w:val="16"/>
      </w:rPr>
      <w:tab/>
    </w:r>
    <w:r>
      <w:rPr/>
      <w:t>A-</w:t>
    </w:r>
    <w:r>
      <w:rPr/>
      <w:fldChar w:fldCharType="begin"/>
    </w:r>
    <w:r>
      <w:rPr/>
      <w:instrText xml:space="preserve"> PAGE </w:instrText>
    </w:r>
    <w:r>
      <w:rPr/>
      <w:fldChar w:fldCharType="separate"/>
    </w:r>
    <w:r>
      <w:rPr/>
      <w:t>1</w:t>
    </w:r>
    <w: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b/>
        <w:sz w:val="20"/>
      </w:rPr>
      <w:t>1197465V4</w:t>
    </w: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b/>
        <w:sz w:val="20"/>
      </w:rPr>
      <w:t>1197465V4</w:t>
    </w: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jc w:val="center"/>
      <w:rPr>
        <w:smallCaps/>
        <w:sz w:val="20"/>
      </w:rPr>
    </w:pPr>
    <w:r>
      <w:rPr>
        <w:smallCaps/>
        <w:sz w:val="20"/>
      </w:rPr>
      <w:t>[Project Development Agreement]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4500" w:leader="none"/>
        <w:tab w:val="right" w:pos="8640" w:leader="none"/>
      </w:tabs>
      <w:rPr/>
    </w:pPr>
    <w:r>
      <w:rPr>
        <w:b/>
        <w:sz w:val="20"/>
      </w:rPr>
      <w:t>1197465V4</w:t>
    </w:r>
    <w:r>
      <w:rPr>
        <w:sz w:val="16"/>
      </w:rPr>
      <w:tab/>
    </w:r>
    <w:r>
      <w:rPr/>
      <w:t>Schedule 1-</w:t>
    </w:r>
    <w:r>
      <w:rPr/>
      <w:fldChar w:fldCharType="begin"/>
    </w:r>
    <w:r>
      <w:rPr/>
      <w:instrText xml:space="preserve"> PAGE </w:instrText>
    </w:r>
    <w:r>
      <w:rPr/>
      <w:fldChar w:fldCharType="separate"/>
    </w:r>
    <w:r>
      <w:rPr/>
      <w:t>1</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TABLE OF CONTENTS</w:t>
    </w:r>
  </w:p>
  <w:p>
    <w:pPr>
      <w:pStyle w:val="Header"/>
      <w:jc w:val="center"/>
      <w:rPr/>
    </w:pPr>
    <w:r>
      <w:rPr/>
    </w:r>
  </w:p>
  <w:p>
    <w:pPr>
      <w:pStyle w:val="Header"/>
      <w:jc w:val="end"/>
      <w:rPr>
        <w:u w:val="single"/>
      </w:rPr>
    </w:pPr>
    <w:r>
      <w:rPr>
        <w:u w:val="single"/>
      </w:rPr>
      <w:t>Page</w:t>
    </w:r>
  </w:p>
  <w:p>
    <w:pPr>
      <w:pStyle w:val="Header"/>
      <w:jc w:val="end"/>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b/>
        <w:rFonts w:ascii="Times New Roman Bold" w:hAnsi="Times New Roman Bold" w:cs="Times New Roman Bold"/>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lowerRoman"/>
      <w:lvlText w:val="(%4)"/>
      <w:lvlJc w:val="start"/>
      <w:pPr>
        <w:tabs>
          <w:tab w:val="num" w:pos="2880"/>
        </w:tabs>
        <w:ind w:start="2880" w:hanging="72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Roman"/>
      <w:suff w:val="nothing"/>
      <w:lvlText w:val="ARTICLE %1"/>
      <w:lvlJc w:val="start"/>
      <w:pPr>
        <w:tabs>
          <w:tab w:val="num" w:pos="0"/>
        </w:tabs>
        <w:ind w:start="0" w:hanging="0"/>
      </w:pPr>
      <w:rPr>
        <w:sz w:val="24"/>
        <w:i w:val="false"/>
        <w:u w:val="none"/>
        <w:b/>
      </w:rPr>
    </w:lvl>
    <w:lvl w:ilvl="1">
      <w:start w:val="1"/>
      <w:isLgl/>
      <w:numFmt w:val="decimal"/>
      <w:lvlText w:val="SECTION %1.%2"/>
      <w:lvlJc w:val="start"/>
      <w:pPr>
        <w:tabs>
          <w:tab w:val="num" w:pos="2448"/>
        </w:tabs>
        <w:ind w:start="2448" w:hanging="1728"/>
      </w:pPr>
      <w:rPr>
        <w:sz w:val="24"/>
        <w:i w:val="false"/>
        <w:u w:val="none"/>
        <w:b w:val="false"/>
        <w:rFonts w:ascii="Times New Roman" w:hAnsi="Times New Roman" w:cs="Times New Roman"/>
        <w:color w:val="000000"/>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lvl>
    <w:lvl w:ilvl="4">
      <w:start w:val="1"/>
      <w:numFmt w:val="upperLetter"/>
      <w:lvlText w:val="(%5)"/>
      <w:lvlJc w:val="start"/>
      <w:pPr>
        <w:tabs>
          <w:tab w:val="num" w:pos="2520"/>
        </w:tabs>
        <w:ind w:start="1440" w:firstLine="720"/>
      </w:pPr>
    </w:lvl>
    <w:lvl w:ilvl="5">
      <w:start w:val="1"/>
      <w:numFmt w:val="decimal"/>
      <w:lvlText w:val="(%6)"/>
      <w:lvlJc w:val="start"/>
      <w:pPr>
        <w:tabs>
          <w:tab w:val="num" w:pos="1152"/>
        </w:tabs>
        <w:ind w:start="1152" w:hanging="432"/>
      </w:pPr>
    </w:lvl>
    <w:lvl w:ilvl="6">
      <w:start w:val="1"/>
      <w:numFmt w:val="decimal"/>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080"/>
        </w:tabs>
        <w:ind w:start="720" w:hanging="0"/>
      </w:pPr>
      <w:rPr>
        <w:rFonts w:ascii="Symbol" w:hAnsi="Symbol" w:cs="Symbol" w:hint="default"/>
        <w:sz w:val="20"/>
      </w:rPr>
    </w:lvl>
  </w:abstractNum>
  <w:abstractNum w:abstractNumId="7">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Times New Roman Bold" w:hAnsi="Times New Roman Bold" w:cs="Times New Roman Bold"/>
      <w:b/>
      <w:kern w:val="2"/>
    </w:rPr>
  </w:style>
  <w:style w:type="paragraph" w:styleId="Heading2">
    <w:name w:val="heading 2"/>
    <w:basedOn w:val="Normal"/>
    <w:next w:val="Normal"/>
    <w:qFormat/>
    <w:pPr>
      <w:numPr>
        <w:ilvl w:val="1"/>
        <w:numId w:val="1"/>
      </w:numPr>
      <w:spacing w:before="240" w:after="60"/>
      <w:outlineLvl w:val="1"/>
    </w:pPr>
    <w:rPr/>
  </w:style>
  <w:style w:type="paragraph" w:styleId="Heading3">
    <w:name w:val="heading 3"/>
    <w:basedOn w:val="Normal"/>
    <w:next w:val="Normal"/>
    <w:qFormat/>
    <w:pPr>
      <w:numPr>
        <w:ilvl w:val="2"/>
        <w:numId w:val="1"/>
      </w:numPr>
      <w:spacing w:before="240" w:after="60"/>
      <w:outlineLvl w:val="2"/>
    </w:pPr>
    <w:rPr/>
  </w:style>
  <w:style w:type="paragraph" w:styleId="Heading4">
    <w:name w:val="heading 4"/>
    <w:basedOn w:val="Normal"/>
    <w:next w:val="Normal"/>
    <w:qFormat/>
    <w:pPr>
      <w:numPr>
        <w:ilvl w:val="3"/>
        <w:numId w:val="1"/>
      </w:numPr>
      <w:spacing w:before="240" w:after="60"/>
      <w:outlineLvl w:val="3"/>
    </w:pPr>
    <w:rPr/>
  </w:style>
  <w:style w:type="paragraph" w:styleId="Heading5">
    <w:name w:val="heading 5"/>
    <w:basedOn w:val="Normal"/>
    <w:next w:val="Normal"/>
    <w:qFormat/>
    <w:pPr>
      <w:keepNext w:val="true"/>
      <w:jc w:val="end"/>
      <w:outlineLvl w:val="4"/>
    </w:pPr>
    <w:rPr>
      <w:b/>
    </w:rPr>
  </w:style>
  <w:style w:type="character" w:styleId="WW8Num5z0">
    <w:name w:val="WW8Num5z0"/>
    <w:qFormat/>
    <w:rPr>
      <w:rFonts w:ascii="Times New Roman" w:hAnsi="Times New Roman" w:cs="Times New Roman"/>
      <w:b w:val="false"/>
      <w:i w:val="false"/>
      <w:color w:val="auto"/>
      <w:sz w:val="24"/>
      <w:u w:val="none"/>
    </w:rPr>
  </w:style>
  <w:style w:type="character" w:styleId="WW8Num5z3">
    <w:name w:val="WW8Num5z3"/>
    <w:qFormat/>
    <w:rPr>
      <w:rFonts w:ascii="TIMES" w:hAnsi="TIMES" w:cs="TIMES"/>
      <w:b w:val="false"/>
      <w:i w:val="false"/>
      <w:color w:val="auto"/>
      <w:sz w:val="24"/>
      <w:u w:val="none"/>
    </w:rPr>
  </w:style>
  <w:style w:type="character" w:styleId="WW8Num6z0">
    <w:name w:val="WW8Num6z0"/>
    <w:qFormat/>
    <w:rPr>
      <w:rFonts w:ascii="Times New Roman" w:hAnsi="Times New Roman" w:cs="Times New Roman"/>
      <w:b w:val="false"/>
      <w:i w:val="false"/>
      <w:sz w:val="24"/>
      <w:u w:val="none"/>
    </w:rPr>
  </w:style>
  <w:style w:type="character" w:styleId="WW8Num6z1">
    <w:name w:val="WW8Num6z1"/>
    <w:qFormat/>
    <w:rPr>
      <w:rFonts w:ascii="Times New Roman" w:hAnsi="Times New Roman" w:cs="Times New Roman"/>
      <w:b w:val="false"/>
      <w:i w:val="false"/>
      <w:sz w:val="24"/>
    </w:rPr>
  </w:style>
  <w:style w:type="character" w:styleId="WW8Num6z2">
    <w:name w:val="WW8Num6z2"/>
    <w:qFormat/>
    <w:rPr>
      <w:b w:val="false"/>
      <w:i w:val="false"/>
      <w:sz w:val="24"/>
      <w:u w:val="none"/>
    </w:rPr>
  </w:style>
  <w:style w:type="character" w:styleId="WW8Num9z0">
    <w:name w:val="WW8Num9z0"/>
    <w:qFormat/>
    <w:rPr>
      <w:b/>
      <w:i w:val="false"/>
      <w:sz w:val="24"/>
      <w:u w:val="none"/>
    </w:rPr>
  </w:style>
  <w:style w:type="character" w:styleId="WW8Num9z1">
    <w:name w:val="WW8Num9z1"/>
    <w:qFormat/>
    <w:rPr>
      <w:rFonts w:ascii="Times New Roman" w:hAnsi="Times New Roman" w:cs="Times New Roman"/>
      <w:b w:val="false"/>
      <w:i w:val="false"/>
      <w:color w:val="000000"/>
      <w:sz w:val="24"/>
      <w:u w:val="none"/>
    </w:rPr>
  </w:style>
  <w:style w:type="character" w:styleId="WW8Num10z0">
    <w:name w:val="WW8Num10z0"/>
    <w:qFormat/>
    <w:rPr>
      <w:rFonts w:ascii="Times New Roman" w:hAnsi="Times New Roman" w:cs="Times New Roman"/>
      <w:b w:val="false"/>
      <w:i w:val="false"/>
      <w:color w:val="auto"/>
      <w:sz w:val="24"/>
      <w:u w:val="none"/>
    </w:rPr>
  </w:style>
  <w:style w:type="character" w:styleId="WW8Num10z3">
    <w:name w:val="WW8Num10z3"/>
    <w:qFormat/>
    <w:rPr>
      <w:rFonts w:ascii="TIMES" w:hAnsi="TIMES" w:cs="TIMES"/>
      <w:b w:val="false"/>
      <w:i w:val="false"/>
      <w:color w:val="auto"/>
      <w:sz w:val="24"/>
      <w:u w:val="none"/>
    </w:rPr>
  </w:style>
  <w:style w:type="character" w:styleId="WW8Num11z0">
    <w:name w:val="WW8Num11z0"/>
    <w:qFormat/>
    <w:rPr>
      <w:rFonts w:ascii="Times New Roman Bold" w:hAnsi="Times New Roman Bold" w:cs="Times New Roman Bold"/>
      <w:b/>
      <w:i w:val="false"/>
      <w:sz w:val="24"/>
    </w:rPr>
  </w:style>
  <w:style w:type="character" w:styleId="WW8Num11z1">
    <w:name w:val="WW8Num11z1"/>
    <w:qFormat/>
    <w:rPr>
      <w:rFonts w:ascii="Times New Roman" w:hAnsi="Times New Roman" w:cs="Times New Roman"/>
      <w:b w:val="false"/>
      <w:i w:val="false"/>
      <w:sz w:val="24"/>
    </w:rPr>
  </w:style>
  <w:style w:type="character" w:styleId="WW8Num12z0">
    <w:name w:val="WW8Num12z0"/>
    <w:qFormat/>
    <w:rPr>
      <w:rFonts w:ascii="Times New Roman" w:hAnsi="Times New Roman" w:cs="Times New Roman"/>
      <w:b/>
      <w:i w:val="false"/>
      <w:sz w:val="24"/>
      <w:u w:val="none"/>
    </w:rPr>
  </w:style>
  <w:style w:type="character" w:styleId="WW8Num12z1">
    <w:name w:val="WW8Num12z1"/>
    <w:qFormat/>
    <w:rPr>
      <w:rFonts w:ascii="Times New Roman" w:hAnsi="Times New Roman" w:cs="Times New Roman"/>
      <w:b w:val="false"/>
      <w:i w:val="false"/>
      <w:sz w:val="24"/>
    </w:rPr>
  </w:style>
  <w:style w:type="character" w:styleId="WW8Num12z2">
    <w:name w:val="WW8Num12z2"/>
    <w:qFormat/>
    <w:rPr>
      <w:b w:val="false"/>
      <w:i w:val="false"/>
      <w:sz w:val="24"/>
      <w:u w:val="none"/>
    </w:rPr>
  </w:style>
  <w:style w:type="character" w:styleId="WW8Num13z0">
    <w:name w:val="WW8Num13z0"/>
    <w:qFormat/>
    <w:rPr>
      <w:rFonts w:ascii="Times New Roman" w:hAnsi="Times New Roman" w:cs="Times New Roman"/>
      <w:b w:val="false"/>
      <w:i w:val="false"/>
      <w:sz w:val="24"/>
      <w:u w:val="none"/>
    </w:rPr>
  </w:style>
  <w:style w:type="character" w:styleId="WW8Num13z1">
    <w:name w:val="WW8Num13z1"/>
    <w:qFormat/>
    <w:rPr>
      <w:rFonts w:ascii="Times New Roman" w:hAnsi="Times New Roman" w:cs="Times New Roman"/>
    </w:rPr>
  </w:style>
  <w:style w:type="character" w:styleId="WW8Num14z0">
    <w:name w:val="WW8Num14z0"/>
    <w:qFormat/>
    <w:rPr>
      <w:rFonts w:ascii="Times New Roman" w:hAnsi="Times New Roman" w:cs="Times New Roman"/>
      <w:b w:val="false"/>
      <w:i w:val="false"/>
      <w:sz w:val="24"/>
      <w:u w:val="none"/>
    </w:rPr>
  </w:style>
  <w:style w:type="character" w:styleId="WW8Num14z1">
    <w:name w:val="WW8Num14z1"/>
    <w:qFormat/>
    <w:rPr>
      <w:rFonts w:ascii="Times New Roman" w:hAnsi="Times New Roman" w:cs="Times New Roman"/>
    </w:rPr>
  </w:style>
  <w:style w:type="character" w:styleId="WW8Num15z0">
    <w:name w:val="WW8Num15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15z1">
    <w:name w:val="WW8Num1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5z2">
    <w:name w:val="WW8Num15z2"/>
    <w:qFormat/>
    <w:rPr>
      <w:b w:val="false"/>
      <w:u w:val="none"/>
    </w:rPr>
  </w:style>
  <w:style w:type="character" w:styleId="WW8Num16z0">
    <w:name w:val="WW8Num16z0"/>
    <w:qFormat/>
    <w:rPr>
      <w:rFonts w:ascii="Times New Roman Bold" w:hAnsi="Times New Roman Bold" w:cs="Times New Roman Bold"/>
      <w:b/>
      <w:i w:val="false"/>
      <w:sz w:val="24"/>
    </w:rPr>
  </w:style>
  <w:style w:type="character" w:styleId="WW8Num16z1">
    <w:name w:val="WW8Num16z1"/>
    <w:qFormat/>
    <w:rPr>
      <w:rFonts w:ascii="Times New Roman" w:hAnsi="Times New Roman" w:cs="Times New Roman"/>
      <w:b w:val="false"/>
      <w:i w:val="false"/>
      <w:sz w:val="24"/>
    </w:rPr>
  </w:style>
  <w:style w:type="character" w:styleId="WW8Num17z0">
    <w:name w:val="WW8Num17z0"/>
    <w:qFormat/>
    <w:rPr>
      <w:rFonts w:ascii="Symbol" w:hAnsi="Symbol" w:cs="Symbol"/>
    </w:rPr>
  </w:style>
  <w:style w:type="character" w:styleId="WW8Num18z0">
    <w:name w:val="WW8Num18z0"/>
    <w:qFormat/>
    <w:rPr>
      <w:rFonts w:ascii="Symbol" w:hAnsi="Symbol" w:cs="Symbol"/>
      <w:sz w:val="20"/>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ullet">
    <w:name w:val="Bullet"/>
    <w:basedOn w:val="Normal"/>
    <w:qFormat/>
    <w:pPr>
      <w:numPr>
        <w:ilvl w:val="0"/>
        <w:numId w:val="6"/>
      </w:numPr>
      <w:tabs>
        <w:tab w:val="clear" w:pos="720"/>
      </w:tabs>
      <w:spacing w:before="0" w:after="240"/>
      <w:ind w:hanging="0" w:start="0" w:end="0"/>
    </w:pPr>
    <w:rPr>
      <w:lang w:eastAsia="en-US"/>
    </w:rPr>
  </w:style>
  <w:style w:type="paragraph" w:styleId="BulletIndent">
    <w:name w:val="Bullet +Indent"/>
    <w:basedOn w:val="Bullet"/>
    <w:qFormat/>
    <w:pPr>
      <w:numPr>
        <w:ilvl w:val="0"/>
        <w:numId w:val="5"/>
      </w:numPr>
      <w:ind w:hanging="720" w:start="1440" w:end="0"/>
    </w:pPr>
    <w:rPr/>
  </w:style>
  <w:style w:type="paragraph" w:styleId="G3">
    <w:name w:val="G3"/>
    <w:basedOn w:val="Normal"/>
    <w:qFormat/>
    <w:pPr>
      <w:numPr>
        <w:ilvl w:val="0"/>
        <w:numId w:val="2"/>
      </w:numPr>
      <w:tabs>
        <w:tab w:val="clear" w:pos="720"/>
      </w:tabs>
      <w:spacing w:before="0" w:after="240"/>
      <w:ind w:firstLine="630" w:start="90" w:end="0"/>
    </w:pPr>
    <w:rPr>
      <w:lang w:eastAsia="en-US"/>
    </w:rPr>
  </w:style>
  <w:style w:type="paragraph" w:styleId="G4">
    <w:name w:val="G4"/>
    <w:basedOn w:val="Normal"/>
    <w:qFormat/>
    <w:pPr>
      <w:numPr>
        <w:ilvl w:val="0"/>
        <w:numId w:val="7"/>
      </w:numPr>
      <w:spacing w:before="0" w:after="240"/>
    </w:pPr>
    <w:rPr>
      <w:lang w:eastAsia="en-US"/>
    </w:rPr>
  </w:style>
  <w:style w:type="paragraph" w:styleId="G5">
    <w:name w:val="G5"/>
    <w:basedOn w:val="Normal"/>
    <w:qFormat/>
    <w:pPr>
      <w:numPr>
        <w:ilvl w:val="0"/>
        <w:numId w:val="3"/>
      </w:numPr>
      <w:tabs>
        <w:tab w:val="clear" w:pos="720"/>
      </w:tabs>
      <w:spacing w:before="0" w:after="240"/>
      <w:ind w:firstLine="720" w:start="720" w:end="0"/>
    </w:pPr>
    <w:rPr>
      <w:lang w:eastAsia="en-US"/>
    </w:rPr>
  </w:style>
  <w:style w:type="paragraph" w:styleId="DateLeftMargin">
    <w:name w:val="Date +Left Margin"/>
    <w:basedOn w:val="Normal"/>
    <w:qFormat/>
    <w:pPr>
      <w:spacing w:before="0" w:after="720"/>
      <w:jc w:val="start"/>
    </w:pPr>
    <w:rPr>
      <w:lang w:eastAsia="en-US"/>
    </w:rPr>
  </w:style>
  <w:style w:type="paragraph" w:styleId="CenterB">
    <w:name w:val="Center +B"/>
    <w:basedOn w:val="Normal"/>
    <w:qFormat/>
    <w:pPr>
      <w:spacing w:before="0" w:after="240"/>
      <w:jc w:val="center"/>
    </w:pPr>
    <w:rPr>
      <w:rFonts w:ascii="TIMES" w:hAnsi="TIMES" w:cs="TIMES"/>
      <w:b/>
      <w:lang w:eastAsia="en-US"/>
    </w:rPr>
  </w:style>
  <w:style w:type="paragraph" w:styleId="CenterNoBNoU">
    <w:name w:val="Center +No B +No U"/>
    <w:basedOn w:val="Normal"/>
    <w:qFormat/>
    <w:pPr>
      <w:suppressAutoHyphens w:val="true"/>
      <w:spacing w:before="0" w:after="240"/>
      <w:jc w:val="center"/>
    </w:pPr>
    <w:rPr>
      <w:lang w:eastAsia="en-US"/>
    </w:rPr>
  </w:style>
  <w:style w:type="paragraph" w:styleId="TOC1">
    <w:name w:val="toc 1"/>
    <w:basedOn w:val="Normal"/>
    <w:next w:val="TOC2"/>
    <w:pPr>
      <w:spacing w:before="120" w:after="120"/>
      <w:jc w:val="start"/>
    </w:pPr>
    <w:rPr>
      <w:b/>
      <w:caps/>
      <w:sz w:val="20"/>
      <w:lang w:eastAsia="en-US"/>
    </w:rPr>
  </w:style>
  <w:style w:type="paragraph" w:styleId="TOC2">
    <w:name w:val="toc 2"/>
    <w:basedOn w:val="Normal"/>
    <w:next w:val="TOC3"/>
    <w:pPr>
      <w:ind w:hanging="0" w:start="240" w:end="0"/>
      <w:jc w:val="start"/>
    </w:pPr>
    <w:rPr>
      <w:smallCaps/>
      <w:sz w:val="20"/>
      <w:lang w:eastAsia="en-US"/>
    </w:rPr>
  </w:style>
  <w:style w:type="paragraph" w:styleId="TOC3">
    <w:name w:val="toc 3"/>
    <w:basedOn w:val="Normal"/>
    <w:next w:val="TOC4"/>
    <w:pPr>
      <w:ind w:hanging="0" w:start="480" w:end="0"/>
      <w:jc w:val="start"/>
    </w:pPr>
    <w:rPr>
      <w:i/>
      <w:sz w:val="20"/>
      <w:lang w:eastAsia="en-US"/>
    </w:rPr>
  </w:style>
  <w:style w:type="paragraph" w:styleId="TOC4">
    <w:name w:val="toc 4"/>
    <w:basedOn w:val="Normal"/>
    <w:next w:val="TOC5"/>
    <w:pPr>
      <w:ind w:hanging="0" w:start="720" w:end="0"/>
      <w:jc w:val="start"/>
    </w:pPr>
    <w:rPr>
      <w:sz w:val="18"/>
      <w:lang w:eastAsia="en-US"/>
    </w:rPr>
  </w:style>
  <w:style w:type="paragraph" w:styleId="TOC5">
    <w:name w:val="toc 5"/>
    <w:basedOn w:val="Normal"/>
    <w:next w:val="TOC6"/>
    <w:pPr>
      <w:ind w:hanging="0" w:start="960" w:end="0"/>
      <w:jc w:val="start"/>
    </w:pPr>
    <w:rPr>
      <w:sz w:val="18"/>
      <w:lang w:eastAsia="en-US"/>
    </w:rPr>
  </w:style>
  <w:style w:type="paragraph" w:styleId="TOC6">
    <w:name w:val="toc 6"/>
    <w:basedOn w:val="Normal"/>
    <w:next w:val="TOC7"/>
    <w:pPr>
      <w:ind w:hanging="0" w:start="1200" w:end="0"/>
      <w:jc w:val="start"/>
    </w:pPr>
    <w:rPr>
      <w:sz w:val="18"/>
      <w:lang w:eastAsia="en-US"/>
    </w:rPr>
  </w:style>
  <w:style w:type="paragraph" w:styleId="TOC7">
    <w:name w:val="toc 7"/>
    <w:basedOn w:val="Normal"/>
    <w:next w:val="TOC8"/>
    <w:pPr>
      <w:ind w:hanging="0" w:start="1440" w:end="0"/>
      <w:jc w:val="start"/>
    </w:pPr>
    <w:rPr>
      <w:sz w:val="18"/>
      <w:lang w:eastAsia="en-US"/>
    </w:rPr>
  </w:style>
  <w:style w:type="paragraph" w:styleId="TOC8">
    <w:name w:val="toc 8"/>
    <w:basedOn w:val="Normal"/>
    <w:next w:val="TOC9"/>
    <w:pPr>
      <w:ind w:hanging="0" w:start="1680" w:end="0"/>
      <w:jc w:val="start"/>
    </w:pPr>
    <w:rPr>
      <w:sz w:val="18"/>
      <w:lang w:eastAsia="en-US"/>
    </w:rPr>
  </w:style>
  <w:style w:type="paragraph" w:styleId="TOC9">
    <w:name w:val="toc 9"/>
    <w:basedOn w:val="Normal"/>
    <w:pPr>
      <w:ind w:hanging="0" w:start="1920" w:end="0"/>
      <w:jc w:val="start"/>
    </w:pPr>
    <w:rPr>
      <w:sz w:val="18"/>
      <w:lang w:eastAsia="en-US"/>
    </w:rPr>
  </w:style>
  <w:style w:type="paragraph" w:styleId="AddressforNotices">
    <w:name w:val="Address for Notices"/>
    <w:basedOn w:val="Normal"/>
    <w:qFormat/>
    <w:pPr>
      <w:keepNext w:val="true"/>
      <w:keepLines/>
      <w:spacing w:before="0" w:after="240"/>
      <w:ind w:hanging="0" w:start="720" w:end="0"/>
      <w:jc w:val="start"/>
    </w:pPr>
    <w:rPr>
      <w:lang w:eastAsia="en-US"/>
    </w:rPr>
  </w:style>
  <w:style w:type="paragraph" w:styleId="AddressforNotices2">
    <w:name w:val="Address for Notices2"/>
    <w:basedOn w:val="AddressforNotices"/>
    <w:qFormat/>
    <w:pPr>
      <w:spacing w:before="0" w:after="0"/>
      <w:ind w:hanging="0" w:start="1440" w:end="0"/>
    </w:pPr>
    <w:rPr/>
  </w:style>
  <w:style w:type="paragraph" w:styleId="HeadingBase">
    <w:name w:val="Heading Base"/>
    <w:basedOn w:val="Normal"/>
    <w:next w:val="BodyText"/>
    <w:qFormat/>
    <w:pPr>
      <w:spacing w:before="0" w:after="240"/>
    </w:pPr>
    <w:rPr>
      <w:lang w:eastAsia="en-US"/>
    </w:rPr>
  </w:style>
  <w:style w:type="paragraph" w:styleId="Signature">
    <w:name w:val="Signature"/>
    <w:basedOn w:val="Normal"/>
    <w:pPr>
      <w:tabs>
        <w:tab w:val="clear" w:pos="720"/>
        <w:tab w:val="left" w:pos="4680" w:leader="none"/>
        <w:tab w:val="left" w:pos="5040" w:leader="none"/>
        <w:tab w:val="left" w:pos="9180" w:leader="none"/>
      </w:tabs>
      <w:suppressAutoHyphens w:val="true"/>
      <w:ind w:hanging="0" w:start="4320" w:end="0"/>
      <w:jc w:val="start"/>
    </w:pPr>
    <w:rPr>
      <w:smallCaps/>
      <w:lang w:eastAsia="en-US"/>
    </w:rPr>
  </w:style>
  <w:style w:type="paragraph" w:styleId="Sign1Line1">
    <w:name w:val="Sign1Line1"/>
    <w:basedOn w:val="Normal"/>
    <w:qFormat/>
    <w:pPr>
      <w:tabs>
        <w:tab w:val="clear" w:pos="720"/>
        <w:tab w:val="left" w:pos="4680" w:leader="none"/>
        <w:tab w:val="left" w:pos="5040" w:leader="none"/>
        <w:tab w:val="left" w:pos="9360" w:leader="none"/>
      </w:tabs>
      <w:spacing w:before="0" w:after="960"/>
      <w:ind w:hanging="0" w:start="4320" w:end="0"/>
      <w:jc w:val="start"/>
    </w:pPr>
    <w:rPr>
      <w:smallCaps/>
      <w:lang w:eastAsia="en-US"/>
    </w:rPr>
  </w:style>
  <w:style w:type="paragraph" w:styleId="Sign1Line2">
    <w:name w:val="Sign1Line2"/>
    <w:basedOn w:val="Sign1Line1"/>
    <w:qFormat/>
    <w:pPr>
      <w:spacing w:before="0" w:after="0"/>
    </w:pPr>
    <w:rPr>
      <w:caps w:val="false"/>
      <w:smallCaps w:val="false"/>
    </w:rPr>
  </w:style>
  <w:style w:type="paragraph" w:styleId="NormalBSmCapsU">
    <w:name w:val="Normal +B +SmCaps +U"/>
    <w:basedOn w:val="Normal"/>
    <w:qFormat/>
    <w:pPr>
      <w:keepNext w:val="true"/>
      <w:keepLines/>
      <w:tabs>
        <w:tab w:val="clear" w:pos="720"/>
        <w:tab w:val="left" w:pos="-720" w:leader="none"/>
      </w:tabs>
      <w:suppressAutoHyphens w:val="true"/>
      <w:spacing w:before="0" w:after="240"/>
      <w:jc w:val="start"/>
    </w:pPr>
    <w:rPr>
      <w:b/>
      <w:smallCaps/>
      <w:spacing w:val="-3"/>
      <w:u w:val="single"/>
      <w:lang w:eastAsia="en-US"/>
    </w:rPr>
  </w:style>
  <w:style w:type="paragraph" w:styleId="Normal12">
    <w:name w:val="Normal +12"/>
    <w:basedOn w:val="Normal"/>
    <w:qFormat/>
    <w:pPr>
      <w:spacing w:before="0" w:after="240"/>
      <w:jc w:val="start"/>
    </w:pPr>
    <w:rPr>
      <w:lang w:eastAsia="en-US"/>
    </w:rPr>
  </w:style>
  <w:style w:type="paragraph" w:styleId="NormalB">
    <w:name w:val="Normal +B"/>
    <w:basedOn w:val="Normal"/>
    <w:qFormat/>
    <w:pPr>
      <w:jc w:val="start"/>
    </w:pPr>
    <w:rPr>
      <w:rFonts w:ascii="Times New Roman Bold" w:hAnsi="Times New Roman Bold" w:cs="Times New Roman Bold"/>
      <w:b/>
      <w:lang w:eastAsia="en-US"/>
    </w:rPr>
  </w:style>
  <w:style w:type="paragraph" w:styleId="CenterBU">
    <w:name w:val="Center +B +U"/>
    <w:basedOn w:val="Normal"/>
    <w:qFormat/>
    <w:pPr>
      <w:suppressAutoHyphens w:val="true"/>
      <w:spacing w:before="0" w:after="360"/>
      <w:jc w:val="center"/>
    </w:pPr>
    <w:rPr>
      <w:b/>
      <w:u w:val="single"/>
      <w:lang w:eastAsia="en-US"/>
    </w:rPr>
  </w:style>
  <w:style w:type="paragraph" w:styleId="BodyTextBUI">
    <w:name w:val="Body Text +B +U +I"/>
    <w:basedOn w:val="BodyText"/>
    <w:next w:val="BodyText"/>
    <w:qFormat/>
    <w:pPr>
      <w:keepNext w:val="true"/>
      <w:keepLines/>
      <w:spacing w:before="0" w:after="240"/>
    </w:pPr>
    <w:rPr>
      <w:b/>
      <w:i/>
      <w:u w:val="single"/>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2000-12-15T17:16:00Z</dcterms:created>
  <dc:creator>Bracewell &amp; Patterson, LLP</dc:creator>
  <dc:description/>
  <dc:language>en-CA</dc:language>
  <cp:lastModifiedBy>Bracewell &amp; Patterson, LLP</cp:lastModifiedBy>
  <cp:lastPrinted>2000-12-15T13:17:00Z</cp:lastPrinted>
  <dcterms:modified xsi:type="dcterms:W3CDTF">2000-12-15T17:16:00Z</dcterms:modified>
  <cp:revision>2</cp:revision>
  <dc:subject/>
  <dc:title>PROJECT DEVELOPMENT AGREEMENT</dc:title>
</cp:coreProperties>
</file>