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ANTitle"/>
        <w:rPr/>
      </w:pPr>
      <w:r>
        <w:rPr/>
        <w:t>SnapStream Media – Personal Video Server Technology</w:t>
      </w:r>
    </w:p>
    <w:p>
      <w:pPr>
        <w:pStyle w:val="Normal"/>
        <w:jc w:val="both"/>
        <w:rPr>
          <w:i/>
          <w:i/>
        </w:rPr>
      </w:pPr>
      <w:r>
        <w:rPr>
          <w:i/>
        </w:rPr>
        <w:softHyphen/>
        <w:softHyphen/>
        <w:softHyphen/>
        <w:softHyphen/>
        <w:softHyphen/>
        <w:softHyphen/>
        <w:softHyphen/>
        <w:softHyphen/>
        <w:softHyphen/>
        <w:softHyphen/>
        <w:softHyphen/>
      </w:r>
    </w:p>
    <w:p>
      <w:pPr>
        <w:pStyle w:val="HANOverview"/>
        <w:rPr/>
      </w:pPr>
      <w:r>
        <w:rPr/>
        <w:t>SnapStream Media's goal is to use its proprietary networked video management and streaming technology to become a major infrastructure player in the booming markets of home digital media delivery and viewing. Chosen as a finalist for Best of Show at the Consumer Electronics Show 2001, SnapStream Media software enables any network appliance to watch or stream video over wireless and wired networks. SnapStream’s technology delivers the only network-centric media solution in the market. More than 150,000 users have downloaded SnapStream’s software since its first beta release and reviews have been written by both PC Magazine and PC World.</w:t>
      </w:r>
    </w:p>
    <w:p>
      <w:pPr>
        <w:pStyle w:val="Normal"/>
        <w:jc w:val="both"/>
        <w:rPr>
          <w:rFonts w:ascii="Arial" w:hAnsi="Arial" w:cs="Arial"/>
          <w:b/>
          <w:sz w:val="20"/>
        </w:rPr>
      </w:pPr>
      <w:r>
        <w:rPr>
          <w:rFonts w:cs="Arial" w:ascii="Arial" w:hAnsi="Arial"/>
          <w:b/>
          <w:sz w:val="20"/>
        </w:rPr>
      </w:r>
    </w:p>
    <w:p>
      <w:pPr>
        <w:pStyle w:val="HANSectionTitle"/>
        <w:rPr/>
      </w:pPr>
      <w:r>
        <w:rPr/>
        <w:t>Product</w:t>
      </w:r>
    </w:p>
    <w:p>
      <w:pPr>
        <w:pStyle w:val="HANSectionTitle"/>
        <w:rPr/>
      </w:pPr>
      <w:r>
        <w:rPr/>
      </w:r>
    </w:p>
    <w:p>
      <w:pPr>
        <w:pStyle w:val="HAN1stBullet"/>
        <w:numPr>
          <w:ilvl w:val="0"/>
          <w:numId w:val="3"/>
        </w:numPr>
        <w:ind w:hanging="0" w:start="0"/>
        <w:rPr/>
      </w:pPr>
      <w:r>
        <w:rPr/>
        <w:t>SnapStream Personal Video Station (PVS) serves as a personal network-based repository of digital media. Content can be recorded from a variety of sources including satellite, cable and antenna. Additionally, through content partnerships, shows can also be “recorded” via a user’s broadband connection.</w:t>
      </w:r>
    </w:p>
    <w:p>
      <w:pPr>
        <w:pStyle w:val="HAN1stBullet"/>
        <w:numPr>
          <w:ilvl w:val="0"/>
          <w:numId w:val="3"/>
        </w:numPr>
        <w:ind w:hanging="0" w:start="0"/>
        <w:rPr/>
      </w:pPr>
      <w:r>
        <w:rPr/>
        <w:t>The SnapStream.NET Back-end Services allows the company to provide a variety of services including collection of viewing patterns and statistics, delivery of customized advertising, and network-based delivery of video content.</w:t>
      </w:r>
    </w:p>
    <w:p>
      <w:pPr>
        <w:pStyle w:val="HAN1stBullet"/>
        <w:numPr>
          <w:ilvl w:val="0"/>
          <w:numId w:val="3"/>
        </w:numPr>
        <w:ind w:hanging="0" w:start="0"/>
        <w:rPr/>
      </w:pPr>
      <w:r>
        <w:rPr/>
        <w:t>The company is pursuing a strategy of bundling and co-marketing to achieve penetration into the market.  In the short-term, revenues of approximately $5 / subscriber / month will be derived for services associated with SnapStream PVS.  Longer term, revenues will be derived from the network-based delivery of video (movies, television shows, news broadcasts, etc.) to the SnapStream base of viewers.</w:t>
      </w:r>
    </w:p>
    <w:p>
      <w:pPr>
        <w:pStyle w:val="HAN1stBullet"/>
        <w:numPr>
          <w:ilvl w:val="0"/>
          <w:numId w:val="0"/>
        </w:numPr>
        <w:ind w:hanging="360" w:start="720" w:end="0"/>
        <w:rPr/>
      </w:pPr>
      <w:r>
        <w:rPr/>
      </w:r>
    </w:p>
    <w:p>
      <w:pPr>
        <w:pStyle w:val="HANSectionTitle"/>
        <w:rPr/>
      </w:pPr>
      <w:r>
        <w:rPr/>
        <w:t>Market</w:t>
      </w:r>
    </w:p>
    <w:p>
      <w:pPr>
        <w:pStyle w:val="HANSectionTitle"/>
        <w:rPr>
          <w:b w:val="false"/>
        </w:rPr>
      </w:pPr>
      <w:r>
        <w:rPr>
          <w:b w:val="false"/>
        </w:rPr>
      </w:r>
    </w:p>
    <w:p>
      <w:pPr>
        <w:pStyle w:val="HAN1stBullet"/>
        <w:numPr>
          <w:ilvl w:val="0"/>
          <w:numId w:val="3"/>
        </w:numPr>
        <w:ind w:hanging="0" w:start="0"/>
        <w:rPr/>
      </w:pPr>
      <w:r>
        <w:rPr/>
        <w:t>The target market is the exploding market of digital media consumers.</w:t>
      </w:r>
    </w:p>
    <w:p>
      <w:pPr>
        <w:pStyle w:val="HAN1stBullet"/>
        <w:numPr>
          <w:ilvl w:val="0"/>
          <w:numId w:val="3"/>
        </w:numPr>
        <w:ind w:hanging="0" w:start="0"/>
        <w:rPr/>
      </w:pPr>
      <w:r>
        <w:rPr/>
        <w:t>The Internet appliance market is forecasted to grow to $17.8 billion by 2004 (IDC*</w:t>
      </w:r>
      <w:r>
        <w:rPr>
          <w:rStyle w:val="FootnoteCharacters"/>
          <w:rStyle w:val="FootnoteReference"/>
        </w:rPr>
        <w:footnoteReference w:customMarkFollows="1" w:id="2"/>
        <w:t>*</w:t>
      </w:r>
      <w:r>
        <w:rPr/>
        <w:t>)</w:t>
      </w:r>
    </w:p>
    <w:p>
      <w:pPr>
        <w:pStyle w:val="HAN1stBullet"/>
        <w:numPr>
          <w:ilvl w:val="0"/>
          <w:numId w:val="3"/>
        </w:numPr>
        <w:ind w:hanging="0" w:start="0"/>
        <w:rPr/>
      </w:pPr>
      <w:r>
        <w:rPr/>
        <w:t>Handheld device unit sales doubled in 2000 from 3.6M units in 1999 to 6.9M units and are expected to grow to 33.5M units ($26B sales) by 2004 (IDC*).</w:t>
      </w:r>
    </w:p>
    <w:p>
      <w:pPr>
        <w:pStyle w:val="HAN1stBullet"/>
        <w:numPr>
          <w:ilvl w:val="0"/>
          <w:numId w:val="3"/>
        </w:numPr>
        <w:ind w:hanging="0" w:start="0"/>
        <w:rPr/>
      </w:pPr>
      <w:r>
        <w:rPr/>
        <w:t>The nascent digital home entertainment network market will grow to $3.3 billion from 2001 to 2004 (Parks and Associates)</w:t>
      </w:r>
    </w:p>
    <w:p>
      <w:pPr>
        <w:pStyle w:val="HAN1stBullet"/>
        <w:numPr>
          <w:ilvl w:val="0"/>
          <w:numId w:val="3"/>
        </w:numPr>
        <w:ind w:hanging="0" w:start="0"/>
        <w:rPr/>
      </w:pPr>
      <w:r>
        <w:rPr/>
        <w:t>By 2004, home networking device shipments are expected to reach 29.8M, and 17.6M U.S. homes are expected to have home networks (IDC*).</w:t>
      </w:r>
    </w:p>
    <w:p>
      <w:pPr>
        <w:pStyle w:val="HAN1stBullet"/>
        <w:numPr>
          <w:ilvl w:val="0"/>
          <w:numId w:val="3"/>
        </w:numPr>
        <w:ind w:hanging="0" w:start="0"/>
        <w:rPr/>
      </w:pPr>
      <w:r>
        <w:rPr/>
        <w:t>Annual shipments of digital video recorders are expected to reach 12.9M by 2004 (IDC*).</w:t>
      </w:r>
    </w:p>
    <w:p>
      <w:pPr>
        <w:pStyle w:val="Normal"/>
        <w:ind w:start="360" w:end="0"/>
        <w:jc w:val="both"/>
        <w:rPr/>
      </w:pPr>
      <w:r>
        <w:rPr/>
      </w:r>
    </w:p>
    <w:p>
      <w:pPr>
        <w:pStyle w:val="HANSectionTitle"/>
        <w:rPr/>
      </w:pPr>
      <w:r>
        <w:rPr/>
        <w:t>Strategic Partners</w:t>
      </w:r>
    </w:p>
    <w:p>
      <w:pPr>
        <w:pStyle w:val="HANSectionTitle"/>
        <w:rPr/>
      </w:pPr>
      <w:r>
        <w:rPr/>
      </w:r>
    </w:p>
    <w:p>
      <w:pPr>
        <w:pStyle w:val="HAN1stBullet"/>
        <w:numPr>
          <w:ilvl w:val="0"/>
          <w:numId w:val="3"/>
        </w:numPr>
        <w:ind w:hanging="0" w:start="0"/>
        <w:rPr/>
      </w:pPr>
      <w:r>
        <w:rPr/>
        <w:t>SnapStream Media has established bundling agreements with leading TV tuner card manufacturers. One partner, Hauppauge Computer Works, is the U.S. market-leading manufacturer for TV tuner cards.</w:t>
      </w:r>
    </w:p>
    <w:p>
      <w:pPr>
        <w:pStyle w:val="HAN1stBullet"/>
        <w:numPr>
          <w:ilvl w:val="0"/>
          <w:numId w:val="3"/>
        </w:numPr>
        <w:ind w:hanging="0" w:start="0"/>
        <w:rPr/>
      </w:pPr>
      <w:r>
        <w:rPr/>
        <w:t>The company is in advanced discussions with Intel Corporation around the bundling of PVS software with Intel Anypoint Home Networking hardware. The company is also in high-level discussions with other key home networking companies including 3Com and Linksys.</w:t>
      </w:r>
    </w:p>
    <w:p>
      <w:pPr>
        <w:pStyle w:val="Normal"/>
        <w:jc w:val="both"/>
        <w:rPr>
          <w:rFonts w:ascii="Arial" w:hAnsi="Arial" w:cs="Arial"/>
          <w:sz w:val="20"/>
        </w:rPr>
      </w:pPr>
      <w:r>
        <w:rPr>
          <w:rFonts w:cs="Arial" w:ascii="Arial" w:hAnsi="Arial"/>
          <w:sz w:val="20"/>
        </w:rPr>
      </w:r>
    </w:p>
    <w:p>
      <w:pPr>
        <w:pStyle w:val="HANSectionTitle"/>
        <w:rPr/>
      </w:pPr>
      <w:r>
        <w:rPr/>
        <w:t>Competition</w:t>
      </w:r>
    </w:p>
    <w:p>
      <w:pPr>
        <w:pStyle w:val="HANSectionTitle"/>
        <w:rPr/>
      </w:pPr>
      <w:r>
        <w:rPr/>
      </w:r>
    </w:p>
    <w:p>
      <w:pPr>
        <w:pStyle w:val="HAN1stBullet"/>
        <w:numPr>
          <w:ilvl w:val="0"/>
          <w:numId w:val="3"/>
        </w:numPr>
        <w:ind w:hanging="0" w:start="0"/>
        <w:rPr/>
      </w:pPr>
      <w:r>
        <w:rPr/>
        <w:t>SnapStream’s competitors are in the convergence media space and include companies such as Mediabolic, ZapMedia, and SonicBlue.</w:t>
      </w:r>
    </w:p>
    <w:p>
      <w:pPr>
        <w:pStyle w:val="HAN1stBullet"/>
        <w:numPr>
          <w:ilvl w:val="0"/>
          <w:numId w:val="3"/>
        </w:numPr>
        <w:ind w:hanging="0" w:start="0"/>
        <w:rPr/>
      </w:pPr>
      <w:r>
        <w:rPr/>
        <w:t>Except for SonicBlue, all companies are in their early stages and have not begun product sales.</w:t>
      </w:r>
    </w:p>
    <w:p>
      <w:pPr>
        <w:pStyle w:val="HAN1stBullet"/>
        <w:numPr>
          <w:ilvl w:val="0"/>
          <w:numId w:val="3"/>
        </w:numPr>
        <w:ind w:hanging="0" w:start="0"/>
        <w:rPr/>
      </w:pPr>
      <w:r>
        <w:rPr/>
        <w:t>The technologies and products of these convergence media companies address only digital audio (as opposed to digital video) giving SnapStream a strong early-mover advantage.</w:t>
      </w:r>
    </w:p>
    <w:p>
      <w:pPr>
        <w:pStyle w:val="HAN1stBullet"/>
        <w:numPr>
          <w:ilvl w:val="0"/>
          <w:numId w:val="3"/>
        </w:numPr>
        <w:ind w:hanging="0" w:start="0"/>
        <w:rPr/>
      </w:pPr>
      <w:r>
        <w:rPr/>
        <w:t>SnapStream Media holds technical expertise in the area of streaming video, rivaled only by streaming video companies Microsoft, Apple and Real Networks, making it difficult for other companies to compete</w:t>
      </w:r>
    </w:p>
    <w:p>
      <w:pPr>
        <w:pStyle w:val="HAN1stBullet"/>
        <w:numPr>
          <w:ilvl w:val="0"/>
          <w:numId w:val="3"/>
        </w:numPr>
        <w:ind w:hanging="0" w:start="0"/>
        <w:rPr/>
      </w:pPr>
      <w:r>
        <w:rPr/>
        <w:t>SnapStream’s support of consumer operating systems from Microsoft make it convenient and cost-effective for its software to be bundled with PCs from companies such as HP, Gateway, Compaq and Dell.</w:t>
      </w:r>
    </w:p>
    <w:p>
      <w:pPr>
        <w:pStyle w:val="HAN1stBullet"/>
        <w:numPr>
          <w:ilvl w:val="0"/>
          <w:numId w:val="3"/>
        </w:numPr>
        <w:ind w:hanging="0" w:start="0"/>
        <w:rPr/>
      </w:pPr>
      <w:r>
        <w:rPr/>
        <w:t>The company’s pending patent covering its networked video platform will allow the company to further impose barriers to entry for existing and new market players.</w:t>
      </w:r>
      <w:r>
        <w:br w:type="page"/>
      </w:r>
    </w:p>
    <w:p>
      <w:pPr>
        <w:pStyle w:val="HANSectionTitle"/>
        <w:rPr/>
      </w:pPr>
      <w:r>
        <w:rPr/>
        <w:t>Competitive Advantages</w:t>
      </w:r>
    </w:p>
    <w:p>
      <w:pPr>
        <w:pStyle w:val="HANSectionTitle"/>
        <w:rPr/>
      </w:pPr>
      <w:r>
        <w:rPr/>
      </w:r>
    </w:p>
    <w:p>
      <w:pPr>
        <w:pStyle w:val="HAN1stBullet"/>
        <w:numPr>
          <w:ilvl w:val="0"/>
          <w:numId w:val="3"/>
        </w:numPr>
        <w:ind w:hanging="0" w:start="0"/>
        <w:rPr>
          <w:b/>
          <w:i/>
          <w:i/>
        </w:rPr>
      </w:pPr>
      <w:r>
        <w:rPr>
          <w:b/>
          <w:i/>
        </w:rPr>
        <w:t>Network Video Technology</w:t>
      </w:r>
      <w:r>
        <w:rPr>
          <w:i/>
        </w:rPr>
        <w:t xml:space="preserve"> – </w:t>
      </w:r>
      <w:r>
        <w:rPr/>
        <w:t xml:space="preserve">To date, SnapStream Media’s ]existing streaming server currently available to the consumer market. Its networked personal television software (SnapStream PVS) is something for which the company has filed a patent to protect its intellectual property position. </w:t>
      </w:r>
    </w:p>
    <w:p>
      <w:pPr>
        <w:pStyle w:val="HAN1stBullet"/>
        <w:numPr>
          <w:ilvl w:val="0"/>
          <w:numId w:val="3"/>
        </w:numPr>
        <w:ind w:hanging="0" w:start="0"/>
        <w:rPr>
          <w:b/>
          <w:i/>
          <w:i/>
        </w:rPr>
      </w:pPr>
      <w:r>
        <w:rPr>
          <w:b/>
          <w:i/>
        </w:rPr>
        <w:t xml:space="preserve">Early Mover Advantage </w:t>
      </w:r>
      <w:r>
        <w:rPr/>
        <w:t>– As discussed above, the company has a substantial lead in both vision and implemented technology in the area of digital and networked video in the home.</w:t>
      </w:r>
    </w:p>
    <w:p>
      <w:pPr>
        <w:pStyle w:val="HANSectionTitle"/>
        <w:rPr>
          <w:b w:val="false"/>
          <w:i/>
          <w:i/>
        </w:rPr>
      </w:pPr>
      <w:r>
        <w:rPr>
          <w:b w:val="false"/>
          <w:i/>
        </w:rPr>
      </w:r>
    </w:p>
    <w:p>
      <w:pPr>
        <w:pStyle w:val="HANSectionTitle"/>
        <w:rPr/>
      </w:pPr>
      <w:r>
        <w:rPr/>
        <w:t>Organizational Information</w:t>
      </w:r>
    </w:p>
    <w:p>
      <w:pPr>
        <w:pStyle w:val="HANSectionTitle"/>
        <w:rPr/>
      </w:pPr>
      <w:r>
        <w:rPr/>
      </w:r>
    </w:p>
    <w:p>
      <w:pPr>
        <w:pStyle w:val="HANSubtitle"/>
        <w:rPr/>
      </w:pPr>
      <w:r>
        <w:rPr/>
        <w:t>Management Team</w:t>
      </w:r>
    </w:p>
    <w:p>
      <w:pPr>
        <w:pStyle w:val="HAN1stBullet"/>
        <w:numPr>
          <w:ilvl w:val="0"/>
          <w:numId w:val="3"/>
        </w:numPr>
        <w:ind w:hanging="0" w:start="0"/>
        <w:rPr/>
      </w:pPr>
      <w:r>
        <w:rPr>
          <w:b/>
          <w:color w:val="000000"/>
        </w:rPr>
        <w:t>Rakesh Agrawal</w:t>
      </w:r>
      <w:r>
        <w:rPr>
          <w:color w:val="000000"/>
        </w:rPr>
        <w:t xml:space="preserve">, </w:t>
      </w:r>
      <w:r>
        <w:rPr>
          <w:b/>
          <w:color w:val="000000"/>
        </w:rPr>
        <w:t>CEO &amp; Co-Founder</w:t>
      </w:r>
      <w:r>
        <w:rPr>
          <w:b/>
          <w:i/>
          <w:color w:val="000000"/>
        </w:rPr>
        <w:t xml:space="preserve"> - </w:t>
      </w:r>
      <w:r>
        <w:rPr/>
        <w:t>BA in Computer Science, BS in Mechanical Engineering, Rice University. 1 year experience at IT consulting company, American Management Systems; 4 years experience as Vice President at Piping Technology &amp; Products (Houston manufacturing company), responsible for international sales team, lead development of on-line system for vendors and customers.  Extensive professional and community leadership skills.</w:t>
      </w:r>
    </w:p>
    <w:p>
      <w:pPr>
        <w:pStyle w:val="HAN1stBullet"/>
        <w:numPr>
          <w:ilvl w:val="0"/>
          <w:numId w:val="3"/>
        </w:numPr>
        <w:ind w:hanging="0" w:start="0"/>
        <w:rPr/>
      </w:pPr>
      <w:r>
        <w:rPr>
          <w:b/>
        </w:rPr>
        <w:t xml:space="preserve">Richard Kuo, CTO &amp; Co-founder – </w:t>
      </w:r>
      <w:r>
        <w:rPr/>
        <w:t>Business Degree, Wharton School of Business, BS Electrical Engineering, University of Pennsylvania. One of the first developers involved with MPEG Layer-3 audio encoding (known today as MP3) in 1994.  3 years experience as consultant with Associated Bank, Wal-mart Corporation, and Sysco Corporation.</w:t>
      </w:r>
    </w:p>
    <w:p>
      <w:pPr>
        <w:pStyle w:val="HANSubtitle"/>
        <w:ind w:start="0" w:end="0"/>
        <w:rPr>
          <w:b w:val="false"/>
          <w:i w:val="false"/>
          <w:i w:val="false"/>
        </w:rPr>
      </w:pPr>
      <w:r>
        <w:rPr>
          <w:b w:val="false"/>
          <w:i w:val="false"/>
        </w:rPr>
      </w:r>
    </w:p>
    <w:p>
      <w:pPr>
        <w:pStyle w:val="HANSubtitle"/>
        <w:rPr>
          <w:b w:val="false"/>
          <w:i w:val="false"/>
          <w:i w:val="false"/>
        </w:rPr>
      </w:pPr>
      <w:r>
        <w:rPr>
          <w:b w:val="false"/>
          <w:i w:val="false"/>
        </w:rPr>
        <w:t>SnapStream is currently engaged in an effort to further build its management team.  The company is seeking out individuals with both start-up company experience as well as domain experience in the area of digital media hardware and software.  Additionally, the company is in the process of formalizing its board of advisors with advisors that include a prominent Houston entrepreneur and the CEO of a publicly traded company ($800M market cap) based in Silicon Valley.</w:t>
      </w:r>
    </w:p>
    <w:p>
      <w:pPr>
        <w:pStyle w:val="Normal"/>
        <w:tabs>
          <w:tab w:val="clear" w:pos="720"/>
          <w:tab w:val="left" w:pos="-720" w:leader="none"/>
        </w:tabs>
        <w:suppressAutoHyphens w:val="true"/>
        <w:jc w:val="both"/>
        <w:rPr>
          <w:rFonts w:ascii="Arial" w:hAnsi="Arial" w:cs="Arial"/>
          <w:b/>
          <w:i/>
          <w:i/>
          <w:color w:val="FF0000"/>
          <w:sz w:val="20"/>
        </w:rPr>
      </w:pPr>
      <w:r>
        <w:rPr>
          <w:rFonts w:cs="Arial" w:ascii="Arial" w:hAnsi="Arial"/>
          <w:b/>
          <w:i/>
          <w:color w:val="FF0000"/>
          <w:sz w:val="20"/>
        </w:rPr>
      </w:r>
    </w:p>
    <w:p>
      <w:pPr>
        <w:pStyle w:val="HANSectionTitle"/>
        <w:rPr/>
      </w:pPr>
      <w:r>
        <w:rPr/>
        <w:t>Financial Projections</w:t>
      </w:r>
    </w:p>
    <w:p>
      <w:pPr>
        <w:pStyle w:val="HANSectionTitle"/>
        <w:rPr/>
      </w:pPr>
      <w:r>
        <w:rPr/>
      </w:r>
    </w:p>
    <w:tbl>
      <w:tblPr>
        <w:tblW w:w="9629" w:type="dxa"/>
        <w:jc w:val="start"/>
        <w:tblInd w:w="720" w:type="dxa"/>
        <w:tblLayout w:type="fixed"/>
        <w:tblCellMar>
          <w:top w:w="0" w:type="dxa"/>
          <w:start w:w="30" w:type="dxa"/>
          <w:bottom w:w="0" w:type="dxa"/>
          <w:end w:w="30" w:type="dxa"/>
        </w:tblCellMar>
      </w:tblPr>
      <w:tblGrid>
        <w:gridCol w:w="2820"/>
        <w:gridCol w:w="1246"/>
        <w:gridCol w:w="1308"/>
        <w:gridCol w:w="1418"/>
        <w:gridCol w:w="1419"/>
        <w:gridCol w:w="1418"/>
      </w:tblGrid>
      <w:tr>
        <w:trPr>
          <w:trHeight w:val="247" w:hRule="atLeast"/>
        </w:trPr>
        <w:tc>
          <w:tcPr>
            <w:tcW w:w="2820" w:type="dxa"/>
            <w:tcBorders/>
          </w:tcPr>
          <w:p>
            <w:pPr>
              <w:pStyle w:val="Normal"/>
              <w:rPr>
                <w:rFonts w:ascii="Arial" w:hAnsi="Arial" w:cs="Arial"/>
                <w:b/>
                <w:color w:val="000000"/>
                <w:sz w:val="20"/>
              </w:rPr>
            </w:pPr>
            <w:r>
              <w:rPr>
                <w:rFonts w:cs="Arial" w:ascii="Arial" w:hAnsi="Arial"/>
                <w:b/>
                <w:color w:val="000000"/>
                <w:sz w:val="20"/>
              </w:rPr>
              <w:t>Revenue Model Projections</w:t>
            </w:r>
          </w:p>
        </w:tc>
        <w:tc>
          <w:tcPr>
            <w:tcW w:w="1246" w:type="dxa"/>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308"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418"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419"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418" w:type="dxa"/>
            <w:tcBorders/>
          </w:tcPr>
          <w:p>
            <w:pPr>
              <w:pStyle w:val="Normal"/>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2820" w:type="dxa"/>
            <w:tcBorders/>
          </w:tcPr>
          <w:p>
            <w:pPr>
              <w:pStyle w:val="Normal"/>
              <w:snapToGrid w:val="false"/>
              <w:jc w:val="end"/>
              <w:rPr>
                <w:rFonts w:ascii="Arial" w:hAnsi="Arial" w:cs="Arial"/>
                <w:color w:val="000000"/>
                <w:sz w:val="20"/>
              </w:rPr>
            </w:pPr>
            <w:r>
              <w:rPr>
                <w:rFonts w:cs="Arial" w:ascii="Arial" w:hAnsi="Arial"/>
                <w:color w:val="000000"/>
                <w:sz w:val="20"/>
              </w:rPr>
            </w:r>
          </w:p>
        </w:tc>
        <w:tc>
          <w:tcPr>
            <w:tcW w:w="1246" w:type="dxa"/>
            <w:tcBorders/>
          </w:tcPr>
          <w:p>
            <w:pPr>
              <w:pStyle w:val="Normal"/>
              <w:rPr>
                <w:rFonts w:ascii="Arial" w:hAnsi="Arial" w:cs="Arial"/>
                <w:b/>
                <w:color w:val="000000"/>
                <w:sz w:val="20"/>
              </w:rPr>
            </w:pPr>
            <w:r>
              <w:rPr>
                <w:rFonts w:cs="Arial" w:ascii="Arial" w:hAnsi="Arial"/>
                <w:b/>
                <w:color w:val="000000"/>
                <w:sz w:val="20"/>
              </w:rPr>
              <w:t>Year 1</w:t>
            </w:r>
          </w:p>
        </w:tc>
        <w:tc>
          <w:tcPr>
            <w:tcW w:w="1308" w:type="dxa"/>
            <w:tcBorders/>
          </w:tcPr>
          <w:p>
            <w:pPr>
              <w:pStyle w:val="Normal"/>
              <w:rPr>
                <w:rFonts w:ascii="Arial" w:hAnsi="Arial" w:cs="Arial"/>
                <w:b/>
                <w:color w:val="000000"/>
                <w:sz w:val="20"/>
              </w:rPr>
            </w:pPr>
            <w:r>
              <w:rPr>
                <w:rFonts w:cs="Arial" w:ascii="Arial" w:hAnsi="Arial"/>
                <w:b/>
                <w:color w:val="000000"/>
                <w:sz w:val="20"/>
              </w:rPr>
              <w:t>Year 2</w:t>
            </w:r>
          </w:p>
        </w:tc>
        <w:tc>
          <w:tcPr>
            <w:tcW w:w="1418" w:type="dxa"/>
            <w:tcBorders/>
          </w:tcPr>
          <w:p>
            <w:pPr>
              <w:pStyle w:val="Normal"/>
              <w:rPr>
                <w:rFonts w:ascii="Arial" w:hAnsi="Arial" w:cs="Arial"/>
                <w:b/>
                <w:color w:val="000000"/>
                <w:sz w:val="20"/>
              </w:rPr>
            </w:pPr>
            <w:r>
              <w:rPr>
                <w:rFonts w:cs="Arial" w:ascii="Arial" w:hAnsi="Arial"/>
                <w:b/>
                <w:color w:val="000000"/>
                <w:sz w:val="20"/>
              </w:rPr>
              <w:t>Year 3</w:t>
            </w:r>
          </w:p>
        </w:tc>
        <w:tc>
          <w:tcPr>
            <w:tcW w:w="1419" w:type="dxa"/>
            <w:tcBorders/>
          </w:tcPr>
          <w:p>
            <w:pPr>
              <w:pStyle w:val="Normal"/>
              <w:rPr>
                <w:rFonts w:ascii="Arial" w:hAnsi="Arial" w:cs="Arial"/>
                <w:b/>
                <w:color w:val="000000"/>
                <w:sz w:val="20"/>
              </w:rPr>
            </w:pPr>
            <w:r>
              <w:rPr>
                <w:rFonts w:cs="Arial" w:ascii="Arial" w:hAnsi="Arial"/>
                <w:b/>
                <w:color w:val="000000"/>
                <w:sz w:val="20"/>
              </w:rPr>
              <w:t>Year 4</w:t>
            </w:r>
          </w:p>
        </w:tc>
        <w:tc>
          <w:tcPr>
            <w:tcW w:w="1418" w:type="dxa"/>
            <w:tcBorders/>
          </w:tcPr>
          <w:p>
            <w:pPr>
              <w:pStyle w:val="Normal"/>
              <w:rPr>
                <w:rFonts w:ascii="Arial" w:hAnsi="Arial" w:cs="Arial"/>
                <w:b/>
                <w:color w:val="000000"/>
                <w:sz w:val="20"/>
              </w:rPr>
            </w:pPr>
            <w:r>
              <w:rPr>
                <w:rFonts w:cs="Arial" w:ascii="Arial" w:hAnsi="Arial"/>
                <w:b/>
                <w:color w:val="000000"/>
                <w:sz w:val="20"/>
              </w:rPr>
              <w:t>Year 5</w:t>
            </w:r>
          </w:p>
        </w:tc>
      </w:tr>
      <w:tr>
        <w:trPr>
          <w:trHeight w:val="247" w:hRule="atLeast"/>
        </w:trPr>
        <w:tc>
          <w:tcPr>
            <w:tcW w:w="2820" w:type="dxa"/>
            <w:tcBorders/>
          </w:tcPr>
          <w:p>
            <w:pPr>
              <w:pStyle w:val="Normal"/>
              <w:rPr>
                <w:rFonts w:ascii="Arial" w:hAnsi="Arial" w:cs="Arial"/>
                <w:color w:val="000000"/>
                <w:sz w:val="20"/>
              </w:rPr>
            </w:pPr>
            <w:r>
              <w:rPr>
                <w:rFonts w:cs="Arial" w:ascii="Arial" w:hAnsi="Arial"/>
                <w:color w:val="000000"/>
                <w:sz w:val="20"/>
              </w:rPr>
              <w:t>Yearly subscription</w:t>
            </w:r>
          </w:p>
        </w:tc>
        <w:tc>
          <w:tcPr>
            <w:tcW w:w="1246" w:type="dxa"/>
            <w:tcBorders/>
          </w:tcPr>
          <w:p>
            <w:pPr>
              <w:pStyle w:val="Normal"/>
              <w:jc w:val="end"/>
              <w:rPr>
                <w:rFonts w:ascii="Arial" w:hAnsi="Arial" w:cs="Arial"/>
                <w:color w:val="000000"/>
                <w:sz w:val="20"/>
              </w:rPr>
            </w:pPr>
            <w:r>
              <w:rPr>
                <w:rFonts w:cs="Arial" w:ascii="Arial" w:hAnsi="Arial"/>
                <w:color w:val="000000"/>
                <w:sz w:val="20"/>
              </w:rPr>
              <w:t xml:space="preserve">$60 </w:t>
            </w:r>
          </w:p>
        </w:tc>
        <w:tc>
          <w:tcPr>
            <w:tcW w:w="1308" w:type="dxa"/>
            <w:tcBorders/>
          </w:tcPr>
          <w:p>
            <w:pPr>
              <w:pStyle w:val="Normal"/>
              <w:jc w:val="end"/>
              <w:rPr>
                <w:rFonts w:ascii="Arial" w:hAnsi="Arial" w:cs="Arial"/>
                <w:color w:val="000000"/>
                <w:sz w:val="20"/>
              </w:rPr>
            </w:pPr>
            <w:r>
              <w:rPr>
                <w:rFonts w:cs="Arial" w:ascii="Arial" w:hAnsi="Arial"/>
                <w:color w:val="000000"/>
                <w:sz w:val="20"/>
              </w:rPr>
              <w:t xml:space="preserve">$60 </w:t>
            </w:r>
          </w:p>
        </w:tc>
        <w:tc>
          <w:tcPr>
            <w:tcW w:w="1418" w:type="dxa"/>
            <w:tcBorders/>
          </w:tcPr>
          <w:p>
            <w:pPr>
              <w:pStyle w:val="Normal"/>
              <w:jc w:val="end"/>
              <w:rPr>
                <w:rFonts w:ascii="Arial" w:hAnsi="Arial" w:cs="Arial"/>
                <w:color w:val="000000"/>
                <w:sz w:val="20"/>
              </w:rPr>
            </w:pPr>
            <w:r>
              <w:rPr>
                <w:rFonts w:cs="Arial" w:ascii="Arial" w:hAnsi="Arial"/>
                <w:color w:val="000000"/>
                <w:sz w:val="20"/>
              </w:rPr>
              <w:t xml:space="preserve">$60 </w:t>
            </w:r>
          </w:p>
        </w:tc>
        <w:tc>
          <w:tcPr>
            <w:tcW w:w="1419" w:type="dxa"/>
            <w:tcBorders/>
          </w:tcPr>
          <w:p>
            <w:pPr>
              <w:pStyle w:val="Normal"/>
              <w:jc w:val="end"/>
              <w:rPr>
                <w:rFonts w:ascii="Arial" w:hAnsi="Arial" w:cs="Arial"/>
                <w:color w:val="000000"/>
                <w:sz w:val="20"/>
              </w:rPr>
            </w:pPr>
            <w:r>
              <w:rPr>
                <w:rFonts w:cs="Arial" w:ascii="Arial" w:hAnsi="Arial"/>
                <w:color w:val="000000"/>
                <w:sz w:val="20"/>
              </w:rPr>
              <w:t xml:space="preserve">$60 </w:t>
            </w:r>
          </w:p>
        </w:tc>
        <w:tc>
          <w:tcPr>
            <w:tcW w:w="1418" w:type="dxa"/>
            <w:tcBorders/>
          </w:tcPr>
          <w:p>
            <w:pPr>
              <w:pStyle w:val="Normal"/>
              <w:jc w:val="end"/>
              <w:rPr>
                <w:rFonts w:ascii="Arial" w:hAnsi="Arial" w:cs="Arial"/>
                <w:color w:val="000000"/>
                <w:sz w:val="20"/>
              </w:rPr>
            </w:pPr>
            <w:r>
              <w:rPr>
                <w:rFonts w:cs="Arial" w:ascii="Arial" w:hAnsi="Arial"/>
                <w:color w:val="000000"/>
                <w:sz w:val="20"/>
              </w:rPr>
              <w:t xml:space="preserve">$60 </w:t>
            </w:r>
          </w:p>
        </w:tc>
      </w:tr>
      <w:tr>
        <w:trPr>
          <w:trHeight w:val="247" w:hRule="atLeast"/>
        </w:trPr>
        <w:tc>
          <w:tcPr>
            <w:tcW w:w="2820" w:type="dxa"/>
            <w:tcBorders/>
          </w:tcPr>
          <w:p>
            <w:pPr>
              <w:pStyle w:val="Normal"/>
              <w:rPr>
                <w:rFonts w:ascii="Arial" w:hAnsi="Arial" w:cs="Arial"/>
                <w:color w:val="000000"/>
                <w:sz w:val="20"/>
              </w:rPr>
            </w:pPr>
            <w:r>
              <w:rPr>
                <w:rFonts w:cs="Arial" w:ascii="Arial" w:hAnsi="Arial"/>
                <w:color w:val="000000"/>
                <w:sz w:val="20"/>
              </w:rPr>
              <w:t>PVS bundles</w:t>
            </w:r>
          </w:p>
        </w:tc>
        <w:tc>
          <w:tcPr>
            <w:tcW w:w="1246" w:type="dxa"/>
            <w:tcBorders/>
          </w:tcPr>
          <w:p>
            <w:pPr>
              <w:pStyle w:val="Normal"/>
              <w:jc w:val="end"/>
              <w:rPr>
                <w:rFonts w:ascii="Arial" w:hAnsi="Arial" w:cs="Arial"/>
                <w:color w:val="000000"/>
                <w:sz w:val="20"/>
              </w:rPr>
            </w:pPr>
            <w:r>
              <w:rPr>
                <w:rFonts w:cs="Arial" w:ascii="Arial" w:hAnsi="Arial"/>
                <w:color w:val="000000"/>
                <w:sz w:val="20"/>
              </w:rPr>
              <w:t>5,000,000</w:t>
            </w:r>
          </w:p>
        </w:tc>
        <w:tc>
          <w:tcPr>
            <w:tcW w:w="1308" w:type="dxa"/>
            <w:tcBorders/>
          </w:tcPr>
          <w:p>
            <w:pPr>
              <w:pStyle w:val="Normal"/>
              <w:jc w:val="end"/>
              <w:rPr>
                <w:rFonts w:ascii="Arial" w:hAnsi="Arial" w:cs="Arial"/>
                <w:color w:val="000000"/>
                <w:sz w:val="20"/>
              </w:rPr>
            </w:pPr>
            <w:r>
              <w:rPr>
                <w:rFonts w:cs="Arial" w:ascii="Arial" w:hAnsi="Arial"/>
                <w:color w:val="000000"/>
                <w:sz w:val="20"/>
              </w:rPr>
              <w:t>10,000,000</w:t>
            </w:r>
          </w:p>
        </w:tc>
        <w:tc>
          <w:tcPr>
            <w:tcW w:w="1418" w:type="dxa"/>
            <w:tcBorders/>
          </w:tcPr>
          <w:p>
            <w:pPr>
              <w:pStyle w:val="Normal"/>
              <w:jc w:val="end"/>
              <w:rPr>
                <w:rFonts w:ascii="Arial" w:hAnsi="Arial" w:cs="Arial"/>
                <w:color w:val="000000"/>
                <w:sz w:val="20"/>
              </w:rPr>
            </w:pPr>
            <w:r>
              <w:rPr>
                <w:rFonts w:cs="Arial" w:ascii="Arial" w:hAnsi="Arial"/>
                <w:color w:val="000000"/>
                <w:sz w:val="20"/>
              </w:rPr>
              <w:t>20,000,000</w:t>
            </w:r>
          </w:p>
        </w:tc>
        <w:tc>
          <w:tcPr>
            <w:tcW w:w="1419" w:type="dxa"/>
            <w:tcBorders/>
          </w:tcPr>
          <w:p>
            <w:pPr>
              <w:pStyle w:val="Normal"/>
              <w:jc w:val="end"/>
              <w:rPr>
                <w:rFonts w:ascii="Arial" w:hAnsi="Arial" w:cs="Arial"/>
                <w:color w:val="000000"/>
                <w:sz w:val="20"/>
              </w:rPr>
            </w:pPr>
            <w:r>
              <w:rPr>
                <w:rFonts w:cs="Arial" w:ascii="Arial" w:hAnsi="Arial"/>
                <w:color w:val="000000"/>
                <w:sz w:val="20"/>
              </w:rPr>
              <w:t>30,000,000</w:t>
            </w:r>
          </w:p>
        </w:tc>
        <w:tc>
          <w:tcPr>
            <w:tcW w:w="1418" w:type="dxa"/>
            <w:tcBorders/>
          </w:tcPr>
          <w:p>
            <w:pPr>
              <w:pStyle w:val="Normal"/>
              <w:jc w:val="end"/>
              <w:rPr>
                <w:rFonts w:ascii="Arial" w:hAnsi="Arial" w:cs="Arial"/>
                <w:color w:val="000000"/>
                <w:sz w:val="20"/>
              </w:rPr>
            </w:pPr>
            <w:r>
              <w:rPr>
                <w:rFonts w:cs="Arial" w:ascii="Arial" w:hAnsi="Arial"/>
                <w:color w:val="000000"/>
                <w:sz w:val="20"/>
              </w:rPr>
              <w:t>40,000,000</w:t>
            </w:r>
          </w:p>
        </w:tc>
      </w:tr>
      <w:tr>
        <w:trPr>
          <w:trHeight w:val="247" w:hRule="atLeast"/>
        </w:trPr>
        <w:tc>
          <w:tcPr>
            <w:tcW w:w="2820" w:type="dxa"/>
            <w:tcBorders/>
          </w:tcPr>
          <w:p>
            <w:pPr>
              <w:pStyle w:val="Normal"/>
              <w:rPr>
                <w:rFonts w:ascii="Arial" w:hAnsi="Arial" w:cs="Arial"/>
                <w:color w:val="000000"/>
                <w:sz w:val="20"/>
              </w:rPr>
            </w:pPr>
            <w:r>
              <w:rPr>
                <w:rFonts w:cs="Arial" w:ascii="Arial" w:hAnsi="Arial"/>
                <w:color w:val="000000"/>
                <w:sz w:val="20"/>
              </w:rPr>
              <w:t>PVS subscribers</w:t>
            </w:r>
          </w:p>
        </w:tc>
        <w:tc>
          <w:tcPr>
            <w:tcW w:w="1246" w:type="dxa"/>
            <w:tcBorders/>
          </w:tcPr>
          <w:p>
            <w:pPr>
              <w:pStyle w:val="Normal"/>
              <w:jc w:val="end"/>
              <w:rPr>
                <w:rFonts w:ascii="Arial" w:hAnsi="Arial" w:cs="Arial"/>
                <w:color w:val="000000"/>
                <w:sz w:val="20"/>
              </w:rPr>
            </w:pPr>
            <w:r>
              <w:rPr>
                <w:rFonts w:cs="Arial" w:ascii="Arial" w:hAnsi="Arial"/>
                <w:color w:val="000000"/>
                <w:sz w:val="20"/>
              </w:rPr>
              <w:t>62,500</w:t>
            </w:r>
          </w:p>
        </w:tc>
        <w:tc>
          <w:tcPr>
            <w:tcW w:w="1308" w:type="dxa"/>
            <w:tcBorders/>
          </w:tcPr>
          <w:p>
            <w:pPr>
              <w:pStyle w:val="Normal"/>
              <w:jc w:val="end"/>
              <w:rPr>
                <w:rFonts w:ascii="Arial" w:hAnsi="Arial" w:cs="Arial"/>
                <w:color w:val="000000"/>
                <w:sz w:val="20"/>
              </w:rPr>
            </w:pPr>
            <w:r>
              <w:rPr>
                <w:rFonts w:cs="Arial" w:ascii="Arial" w:hAnsi="Arial"/>
                <w:color w:val="000000"/>
                <w:sz w:val="20"/>
              </w:rPr>
              <w:t>256,250</w:t>
            </w:r>
          </w:p>
        </w:tc>
        <w:tc>
          <w:tcPr>
            <w:tcW w:w="1418" w:type="dxa"/>
            <w:tcBorders/>
          </w:tcPr>
          <w:p>
            <w:pPr>
              <w:pStyle w:val="Normal"/>
              <w:jc w:val="end"/>
              <w:rPr>
                <w:rFonts w:ascii="Arial" w:hAnsi="Arial" w:cs="Arial"/>
                <w:color w:val="000000"/>
                <w:sz w:val="20"/>
              </w:rPr>
            </w:pPr>
            <w:r>
              <w:rPr>
                <w:rFonts w:cs="Arial" w:ascii="Arial" w:hAnsi="Arial"/>
                <w:color w:val="000000"/>
                <w:sz w:val="20"/>
              </w:rPr>
              <w:t>630,625</w:t>
            </w:r>
          </w:p>
        </w:tc>
        <w:tc>
          <w:tcPr>
            <w:tcW w:w="1419" w:type="dxa"/>
            <w:tcBorders/>
          </w:tcPr>
          <w:p>
            <w:pPr>
              <w:pStyle w:val="Normal"/>
              <w:jc w:val="end"/>
              <w:rPr>
                <w:rFonts w:ascii="Arial" w:hAnsi="Arial" w:cs="Arial"/>
                <w:color w:val="000000"/>
                <w:sz w:val="20"/>
              </w:rPr>
            </w:pPr>
            <w:r>
              <w:rPr>
                <w:rFonts w:cs="Arial" w:ascii="Arial" w:hAnsi="Arial"/>
                <w:color w:val="000000"/>
                <w:sz w:val="20"/>
              </w:rPr>
              <w:t>1,467,563</w:t>
            </w:r>
          </w:p>
        </w:tc>
        <w:tc>
          <w:tcPr>
            <w:tcW w:w="1418" w:type="dxa"/>
            <w:tcBorders/>
          </w:tcPr>
          <w:p>
            <w:pPr>
              <w:pStyle w:val="Normal"/>
              <w:jc w:val="end"/>
              <w:rPr>
                <w:rFonts w:ascii="Arial" w:hAnsi="Arial" w:cs="Arial"/>
                <w:color w:val="000000"/>
                <w:sz w:val="20"/>
              </w:rPr>
            </w:pPr>
            <w:r>
              <w:rPr>
                <w:rFonts w:cs="Arial" w:ascii="Arial" w:hAnsi="Arial"/>
                <w:color w:val="000000"/>
                <w:sz w:val="20"/>
              </w:rPr>
              <w:t>2,520,806</w:t>
            </w:r>
          </w:p>
        </w:tc>
      </w:tr>
      <w:tr>
        <w:trPr>
          <w:trHeight w:val="247" w:hRule="atLeast"/>
        </w:trPr>
        <w:tc>
          <w:tcPr>
            <w:tcW w:w="2820" w:type="dxa"/>
            <w:tcBorders/>
          </w:tcPr>
          <w:p>
            <w:pPr>
              <w:pStyle w:val="Normal"/>
              <w:rPr>
                <w:rFonts w:ascii="Arial" w:hAnsi="Arial" w:cs="Arial"/>
                <w:color w:val="000000"/>
                <w:sz w:val="20"/>
              </w:rPr>
            </w:pPr>
            <w:r>
              <w:rPr>
                <w:rFonts w:cs="Arial" w:ascii="Arial" w:hAnsi="Arial"/>
                <w:color w:val="000000"/>
                <w:sz w:val="20"/>
              </w:rPr>
              <w:t>Annual revenue</w:t>
            </w:r>
          </w:p>
        </w:tc>
        <w:tc>
          <w:tcPr>
            <w:tcW w:w="1246" w:type="dxa"/>
            <w:tcBorders/>
          </w:tcPr>
          <w:p>
            <w:pPr>
              <w:pStyle w:val="Normal"/>
              <w:jc w:val="end"/>
              <w:rPr>
                <w:rFonts w:ascii="Arial" w:hAnsi="Arial" w:cs="Arial"/>
                <w:b/>
                <w:color w:val="000000"/>
                <w:sz w:val="20"/>
              </w:rPr>
            </w:pPr>
            <w:r>
              <w:rPr>
                <w:rFonts w:cs="Arial" w:ascii="Arial" w:hAnsi="Arial"/>
                <w:b/>
                <w:color w:val="000000"/>
                <w:sz w:val="20"/>
              </w:rPr>
              <w:t xml:space="preserve">$3,750,000 </w:t>
            </w:r>
          </w:p>
        </w:tc>
        <w:tc>
          <w:tcPr>
            <w:tcW w:w="1308" w:type="dxa"/>
            <w:tcBorders/>
          </w:tcPr>
          <w:p>
            <w:pPr>
              <w:pStyle w:val="Normal"/>
              <w:jc w:val="end"/>
              <w:rPr>
                <w:rFonts w:ascii="Arial" w:hAnsi="Arial" w:cs="Arial"/>
                <w:b/>
                <w:color w:val="000000"/>
                <w:sz w:val="20"/>
              </w:rPr>
            </w:pPr>
            <w:r>
              <w:rPr>
                <w:rFonts w:cs="Arial" w:ascii="Arial" w:hAnsi="Arial"/>
                <w:b/>
                <w:color w:val="000000"/>
                <w:sz w:val="20"/>
              </w:rPr>
              <w:t xml:space="preserve">$15,375,000 </w:t>
            </w:r>
          </w:p>
        </w:tc>
        <w:tc>
          <w:tcPr>
            <w:tcW w:w="1418" w:type="dxa"/>
            <w:tcBorders/>
          </w:tcPr>
          <w:p>
            <w:pPr>
              <w:pStyle w:val="Normal"/>
              <w:jc w:val="end"/>
              <w:rPr>
                <w:rFonts w:ascii="Arial" w:hAnsi="Arial" w:cs="Arial"/>
                <w:b/>
                <w:color w:val="000000"/>
                <w:sz w:val="20"/>
              </w:rPr>
            </w:pPr>
            <w:r>
              <w:rPr>
                <w:rFonts w:cs="Arial" w:ascii="Arial" w:hAnsi="Arial"/>
                <w:b/>
                <w:color w:val="000000"/>
                <w:sz w:val="20"/>
              </w:rPr>
              <w:t xml:space="preserve">$37,837,500 </w:t>
            </w:r>
          </w:p>
        </w:tc>
        <w:tc>
          <w:tcPr>
            <w:tcW w:w="1419" w:type="dxa"/>
            <w:tcBorders/>
          </w:tcPr>
          <w:p>
            <w:pPr>
              <w:pStyle w:val="Normal"/>
              <w:jc w:val="end"/>
              <w:rPr>
                <w:rFonts w:ascii="Arial" w:hAnsi="Arial" w:cs="Arial"/>
                <w:b/>
                <w:color w:val="000000"/>
                <w:sz w:val="20"/>
              </w:rPr>
            </w:pPr>
            <w:r>
              <w:rPr>
                <w:rFonts w:cs="Arial" w:ascii="Arial" w:hAnsi="Arial"/>
                <w:b/>
                <w:color w:val="000000"/>
                <w:sz w:val="20"/>
              </w:rPr>
              <w:t xml:space="preserve">$88,053,750 </w:t>
            </w:r>
          </w:p>
        </w:tc>
        <w:tc>
          <w:tcPr>
            <w:tcW w:w="1418" w:type="dxa"/>
            <w:tcBorders/>
          </w:tcPr>
          <w:p>
            <w:pPr>
              <w:pStyle w:val="Normal"/>
              <w:jc w:val="end"/>
              <w:rPr>
                <w:rFonts w:ascii="Arial" w:hAnsi="Arial" w:cs="Arial"/>
                <w:b/>
                <w:color w:val="000000"/>
                <w:sz w:val="20"/>
              </w:rPr>
            </w:pPr>
            <w:r>
              <w:rPr>
                <w:rFonts w:cs="Arial" w:ascii="Arial" w:hAnsi="Arial"/>
                <w:b/>
                <w:color w:val="000000"/>
                <w:sz w:val="20"/>
              </w:rPr>
              <w:t xml:space="preserve">$151,248,375 </w:t>
            </w:r>
          </w:p>
        </w:tc>
      </w:tr>
    </w:tbl>
    <w:p>
      <w:pPr>
        <w:pStyle w:val="HAN2ndBullet"/>
        <w:numPr>
          <w:ilvl w:val="0"/>
          <w:numId w:val="0"/>
        </w:numPr>
        <w:ind w:hanging="0" w:start="0"/>
        <w:rPr/>
      </w:pPr>
      <w:r>
        <w:rPr/>
      </w:r>
    </w:p>
    <w:p>
      <w:pPr>
        <w:pStyle w:val="HANSectionTitle"/>
        <w:rPr/>
      </w:pPr>
      <w:r>
        <w:rPr/>
        <w:t>Capital</w:t>
      </w:r>
    </w:p>
    <w:p>
      <w:pPr>
        <w:pStyle w:val="HANSectionTitle"/>
        <w:rPr/>
      </w:pPr>
      <w:r>
        <w:rPr/>
      </w:r>
    </w:p>
    <w:p>
      <w:pPr>
        <w:pStyle w:val="HAN1stBullet"/>
        <w:numPr>
          <w:ilvl w:val="0"/>
          <w:numId w:val="4"/>
        </w:numPr>
        <w:rPr/>
      </w:pPr>
      <w:r>
        <w:rPr/>
        <w:t>The company seeks to raise $500,000 in an early stage round of funding.  This round will be followed, within approximately 6 months, by a series-A round of $1,500,000.</w:t>
      </w:r>
    </w:p>
    <w:p>
      <w:pPr>
        <w:pStyle w:val="HAN1stBullet"/>
        <w:numPr>
          <w:ilvl w:val="0"/>
          <w:numId w:val="4"/>
        </w:numPr>
        <w:rPr/>
      </w:pPr>
      <w:r>
        <w:rPr/>
        <w:t>With early-stage funding, SnapStream plans to make technical improvents to its current prototype product and to establish bundling and content partnerships with appropriate hardware manufacturers.  The 6 month goal will be to establish business development relationships that allow SnapStream software to reach 3M users.</w:t>
      </w:r>
    </w:p>
    <w:p>
      <w:pPr>
        <w:pStyle w:val="Normal"/>
        <w:jc w:val="both"/>
        <w:rPr>
          <w:rFonts w:ascii="Arial" w:hAnsi="Arial" w:cs="Arial"/>
          <w:b/>
        </w:rPr>
      </w:pPr>
      <w:r>
        <w:rPr>
          <w:rFonts w:cs="Arial" w:ascii="Arial" w:hAnsi="Arial"/>
          <w:b/>
        </w:rPr>
      </w:r>
    </w:p>
    <w:p>
      <w:pPr>
        <w:pStyle w:val="HANSectionTitle"/>
        <w:rPr/>
      </w:pPr>
      <w:r>
        <w:rPr/>
        <w:t>Contact Information</w:t>
      </w:r>
    </w:p>
    <w:p>
      <w:pPr>
        <w:pStyle w:val="HANSectionTitle"/>
        <w:rPr/>
      </w:pPr>
      <w:r>
        <w:rPr/>
      </w:r>
    </w:p>
    <w:p>
      <w:pPr>
        <w:pStyle w:val="HANContactInfo"/>
        <w:numPr>
          <w:ilvl w:val="0"/>
          <w:numId w:val="6"/>
        </w:numPr>
        <w:ind w:hanging="0" w:start="0"/>
        <w:rPr/>
      </w:pPr>
      <w:r>
        <w:rPr/>
        <w:t>Rakesh Agrawal</w:t>
      </w:r>
    </w:p>
    <w:p>
      <w:pPr>
        <w:pStyle w:val="HANContactInfo"/>
        <w:numPr>
          <w:ilvl w:val="0"/>
          <w:numId w:val="0"/>
        </w:numPr>
        <w:ind w:hanging="0" w:start="720" w:end="0"/>
        <w:rPr>
          <w:b w:val="false"/>
        </w:rPr>
      </w:pPr>
      <w:r>
        <w:rPr>
          <w:b w:val="false"/>
        </w:rPr>
        <w:t>CEO, Co-Founder</w:t>
      </w:r>
    </w:p>
    <w:p>
      <w:pPr>
        <w:pStyle w:val="HANContactInfo"/>
        <w:numPr>
          <w:ilvl w:val="0"/>
          <w:numId w:val="0"/>
        </w:numPr>
        <w:ind w:hanging="0" w:start="720" w:end="0"/>
        <w:rPr>
          <w:b w:val="false"/>
        </w:rPr>
      </w:pPr>
      <w:r>
        <w:rPr>
          <w:b w:val="false"/>
        </w:rPr>
        <w:t>SnapStream Media LLC</w:t>
      </w:r>
    </w:p>
    <w:p>
      <w:pPr>
        <w:pStyle w:val="HANContactInfo"/>
        <w:numPr>
          <w:ilvl w:val="0"/>
          <w:numId w:val="0"/>
        </w:numPr>
        <w:ind w:hanging="0" w:start="720" w:end="0"/>
        <w:rPr>
          <w:b w:val="false"/>
        </w:rPr>
      </w:pPr>
      <w:r>
        <w:rPr>
          <w:b w:val="false"/>
        </w:rPr>
        <w:t>713-644-6240 office</w:t>
      </w:r>
    </w:p>
    <w:p>
      <w:pPr>
        <w:pStyle w:val="HANContactInfo"/>
        <w:numPr>
          <w:ilvl w:val="0"/>
          <w:numId w:val="0"/>
        </w:numPr>
        <w:ind w:hanging="0" w:start="720" w:end="0"/>
        <w:rPr>
          <w:b w:val="false"/>
        </w:rPr>
      </w:pPr>
      <w:r>
        <w:rPr>
          <w:b w:val="false"/>
        </w:rPr>
        <w:t>713-446-7725 cell</w:t>
      </w:r>
    </w:p>
    <w:p>
      <w:pPr>
        <w:pStyle w:val="HANContactInfo"/>
        <w:numPr>
          <w:ilvl w:val="0"/>
          <w:numId w:val="0"/>
        </w:numPr>
        <w:ind w:hanging="0" w:start="0"/>
        <w:rPr>
          <w:b w:val="false"/>
        </w:rPr>
      </w:pPr>
      <w:r>
        <w:rPr>
          <w:b w:val="false"/>
        </w:rPr>
        <w:tab/>
      </w:r>
      <w:hyperlink r:id="rId2">
        <w:r>
          <w:rPr>
            <w:rStyle w:val="Hyperlink"/>
          </w:rPr>
          <w:t>rakesh@snapstream.com</w:t>
        </w:r>
      </w:hyperlink>
    </w:p>
    <w:p>
      <w:pPr>
        <w:pStyle w:val="HANContactInfo"/>
        <w:numPr>
          <w:ilvl w:val="0"/>
          <w:numId w:val="0"/>
        </w:numPr>
        <w:ind w:hanging="0" w:start="0"/>
        <w:rPr>
          <w:b w:val="false"/>
        </w:rPr>
      </w:pPr>
      <w:r>
        <w:rPr>
          <w:b w:val="false"/>
        </w:rPr>
      </w:r>
    </w:p>
    <w:p>
      <w:pPr>
        <w:pStyle w:val="Normal"/>
        <w:jc w:val="both"/>
        <w:rPr>
          <w:rFonts w:ascii="Arial" w:hAnsi="Arial" w:cs="Arial"/>
          <w:b/>
          <w:sz w:val="22"/>
        </w:rPr>
      </w:pPr>
      <w:r>
        <w:rPr>
          <w:rFonts w:cs="Arial" w:ascii="Arial" w:hAnsi="Arial"/>
          <w:b/>
          <w:sz w:val="22"/>
        </w:rPr>
      </w:r>
    </w:p>
    <w:sectPr>
      <w:footerReference w:type="default" r:id="rId3"/>
      <w:footnotePr>
        <w:numFmt w:val="decimal"/>
      </w:footnotePr>
      <w:type w:val="nextPage"/>
      <w:pgSz w:w="12240" w:h="15840"/>
      <w:pgMar w:left="864" w:right="1152" w:gutter="0" w:header="0" w:top="1008" w:footer="720" w:bottom="864"/>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 xml:space="preserve">International Data Corporation (IDC) – </w:t>
      </w:r>
      <w:r>
        <w:rPr>
          <w:i/>
        </w:rPr>
        <w:t>market research firm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sz w:val="20"/>
        <w:color w:val="00000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1125"/>
        </w:tabs>
        <w:ind w:start="1125" w:hanging="360"/>
      </w:pPr>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outlineLvl w:val="3"/>
    </w:pPr>
    <w:rPr>
      <w:b/>
      <w:bCs/>
      <w:i/>
      <w:iCs/>
      <w:sz w:val="22"/>
    </w:rPr>
  </w:style>
  <w:style w:type="paragraph" w:styleId="Heading5">
    <w:name w:val="heading 5"/>
    <w:basedOn w:val="Normal"/>
    <w:next w:val="Normal"/>
    <w:qFormat/>
    <w:pPr>
      <w:keepNext w:val="true"/>
      <w:numPr>
        <w:ilvl w:val="4"/>
        <w:numId w:val="1"/>
      </w:numPr>
      <w:jc w:val="both"/>
      <w:outlineLvl w:val="4"/>
    </w:pPr>
    <w:rPr>
      <w:b/>
      <w:bCs/>
      <w:i/>
      <w:iCs/>
    </w:rPr>
  </w:style>
  <w:style w:type="paragraph" w:styleId="Heading6">
    <w:name w:val="heading 6"/>
    <w:basedOn w:val="Normal"/>
    <w:next w:val="Normal"/>
    <w:qFormat/>
    <w:pPr>
      <w:keepNext w:val="true"/>
      <w:numPr>
        <w:ilvl w:val="5"/>
        <w:numId w:val="1"/>
      </w:numPr>
      <w:jc w:val="both"/>
      <w:outlineLvl w:val="5"/>
    </w:pPr>
    <w:rPr>
      <w:b/>
      <w:bCs/>
      <w:sz w:val="28"/>
    </w:rPr>
  </w:style>
  <w:style w:type="paragraph" w:styleId="Heading7">
    <w:name w:val="heading 7"/>
    <w:basedOn w:val="Normal"/>
    <w:next w:val="Normal"/>
    <w:qFormat/>
    <w:pPr>
      <w:keepNext w:val="true"/>
      <w:numPr>
        <w:ilvl w:val="6"/>
        <w:numId w:val="1"/>
      </w:numPr>
      <w:jc w:val="both"/>
      <w:outlineLvl w:val="6"/>
    </w:pPr>
    <w:rPr>
      <w:b/>
      <w:bCs/>
      <w:iCs/>
      <w:sz w:val="28"/>
      <w:u w:val="single"/>
    </w:rPr>
  </w:style>
  <w:style w:type="paragraph" w:styleId="Heading8">
    <w:name w:val="heading 8"/>
    <w:basedOn w:val="Normal"/>
    <w:next w:val="Normal"/>
    <w:qFormat/>
    <w:pPr>
      <w:keepNext w:val="true"/>
      <w:numPr>
        <w:ilvl w:val="7"/>
        <w:numId w:val="1"/>
      </w:numPr>
      <w:jc w:val="both"/>
      <w:outlineLvl w:val="7"/>
    </w:pPr>
    <w:rPr>
      <w:b/>
      <w:bCs/>
      <w:i/>
      <w:sz w:val="22"/>
    </w:rPr>
  </w:style>
  <w:style w:type="paragraph" w:styleId="Heading9">
    <w:name w:val="heading 9"/>
    <w:basedOn w:val="Normal"/>
    <w:next w:val="Normal"/>
    <w:qFormat/>
    <w:pPr>
      <w:keepNext w:val="true"/>
      <w:numPr>
        <w:ilvl w:val="8"/>
        <w:numId w:val="1"/>
      </w:numPr>
      <w:outlineLvl w:val="8"/>
    </w:pPr>
    <w:rPr>
      <w:rFonts w:ascii="Arial" w:hAnsi="Arial" w:cs="Arial"/>
      <w:b/>
      <w:bCs/>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sz w:val="20"/>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color w:val="000000"/>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color w:val="000000"/>
      <w:sz w:val="20"/>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000000"/>
      <w:sz w:val="2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000000"/>
      <w:sz w:val="20"/>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color w:val="000000"/>
      <w:sz w:val="2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color w:val="000000"/>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Symbol" w:hAnsi="Symbol" w:cs="Symbol"/>
      <w:color w:val="000000"/>
      <w:sz w:val="20"/>
    </w:rPr>
  </w:style>
  <w:style w:type="character" w:styleId="WW8Num39z2">
    <w:name w:val="WW8Num39z2"/>
    <w:qFormat/>
    <w:rPr>
      <w:rFonts w:ascii="Wingdings" w:hAnsi="Wingdings" w:cs="Wingdings"/>
    </w:rPr>
  </w:style>
  <w:style w:type="character" w:styleId="WW8Num39z4">
    <w:name w:val="WW8Num39z4"/>
    <w:qFormat/>
    <w:rPr>
      <w:rFonts w:ascii="Courier New" w:hAnsi="Courier New" w:cs="Courier New"/>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000000"/>
      <w:sz w:val="2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color w:val="000000"/>
      <w:sz w:val="2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ANTitle">
    <w:name w:val="HAN Title"/>
    <w:basedOn w:val="Normal"/>
    <w:qFormat/>
    <w:pPr>
      <w:pBdr>
        <w:bottom w:val="single" w:sz="12" w:space="1" w:color="000000"/>
      </w:pBdr>
      <w:jc w:val="both"/>
    </w:pPr>
    <w:rPr>
      <w:rFonts w:ascii="Arial" w:hAnsi="Arial" w:cs="Arial"/>
      <w:b/>
      <w:sz w:val="28"/>
    </w:rPr>
  </w:style>
  <w:style w:type="paragraph" w:styleId="HANOverview">
    <w:name w:val="HAN Overview"/>
    <w:basedOn w:val="Normal"/>
    <w:qFormat/>
    <w:pPr>
      <w:jc w:val="both"/>
    </w:pPr>
    <w:rPr>
      <w:rFonts w:ascii="Arial" w:hAnsi="Arial" w:cs="Arial"/>
      <w:sz w:val="20"/>
    </w:rPr>
  </w:style>
  <w:style w:type="paragraph" w:styleId="HANSectionTitle">
    <w:name w:val="HAN Section Title"/>
    <w:basedOn w:val="Heading9"/>
    <w:qFormat/>
    <w:pPr>
      <w:numPr>
        <w:ilvl w:val="0"/>
        <w:numId w:val="0"/>
      </w:numPr>
      <w:outlineLvl w:val="9"/>
    </w:pPr>
    <w:rPr/>
  </w:style>
  <w:style w:type="paragraph" w:styleId="HAN1stBullet">
    <w:name w:val="HAN 1st Bullet"/>
    <w:basedOn w:val="Normal"/>
    <w:qFormat/>
    <w:pPr>
      <w:numPr>
        <w:ilvl w:val="0"/>
        <w:numId w:val="3"/>
      </w:numPr>
      <w:jc w:val="both"/>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AN2ndBullet">
    <w:name w:val="HAN 2nd Bullet"/>
    <w:basedOn w:val="Normal"/>
    <w:qFormat/>
    <w:pPr>
      <w:numPr>
        <w:ilvl w:val="0"/>
        <w:numId w:val="5"/>
      </w:numPr>
      <w:jc w:val="both"/>
    </w:pPr>
    <w:rPr>
      <w:rFonts w:ascii="Arial" w:hAnsi="Arial" w:cs="Arial"/>
      <w:sz w:val="20"/>
    </w:rPr>
  </w:style>
  <w:style w:type="paragraph" w:styleId="HANContactInfo">
    <w:name w:val="HAN Contact Info"/>
    <w:basedOn w:val="Normal"/>
    <w:qFormat/>
    <w:pPr>
      <w:numPr>
        <w:ilvl w:val="0"/>
        <w:numId w:val="6"/>
      </w:numPr>
      <w:jc w:val="both"/>
    </w:pPr>
    <w:rPr>
      <w:rFonts w:ascii="Arial" w:hAnsi="Arial" w:cs="Arial"/>
      <w:b/>
      <w:bCs/>
      <w:sz w:val="20"/>
    </w:rPr>
  </w:style>
  <w:style w:type="paragraph" w:styleId="Footer">
    <w:name w:val="footer"/>
    <w:basedOn w:val="Normal"/>
    <w:pPr>
      <w:tabs>
        <w:tab w:val="clear" w:pos="720"/>
        <w:tab w:val="center" w:pos="4320" w:leader="none"/>
        <w:tab w:val="right" w:pos="8640" w:leader="none"/>
      </w:tabs>
    </w:pPr>
    <w:rPr/>
  </w:style>
  <w:style w:type="paragraph" w:styleId="HANFootnote">
    <w:name w:val="HAN Footnote"/>
    <w:basedOn w:val="Normal"/>
    <w:qFormat/>
    <w:pPr/>
    <w:rPr>
      <w:rFonts w:ascii="Arial" w:hAnsi="Arial" w:cs="Arial"/>
      <w:sz w:val="20"/>
    </w:rPr>
  </w:style>
  <w:style w:type="paragraph" w:styleId="BlockText">
    <w:name w:val="Block Text"/>
    <w:basedOn w:val="Normal"/>
    <w:qFormat/>
    <w:pPr>
      <w:ind w:hanging="0" w:start="360" w:end="216"/>
      <w:jc w:val="both"/>
    </w:pPr>
    <w:rPr>
      <w:color w:val="000000"/>
      <w:sz w:val="20"/>
      <w:szCs w:val="20"/>
    </w:rPr>
  </w:style>
  <w:style w:type="paragraph" w:styleId="BodyText3">
    <w:name w:val="Body Text 3"/>
    <w:basedOn w:val="Normal"/>
    <w:qFormat/>
    <w:pPr/>
    <w:rPr>
      <w:color w:val="000000"/>
      <w:sz w:val="20"/>
      <w:szCs w:val="20"/>
    </w:rPr>
  </w:style>
  <w:style w:type="paragraph" w:styleId="HANSubtitle">
    <w:name w:val="HAN Subtitle"/>
    <w:basedOn w:val="HAN1stBullet"/>
    <w:qFormat/>
    <w:pPr>
      <w:numPr>
        <w:ilvl w:val="0"/>
        <w:numId w:val="0"/>
      </w:numPr>
      <w:ind w:hanging="0" w:start="360" w:end="0"/>
    </w:pPr>
    <w:rPr>
      <w:b/>
      <w:bCs/>
      <w:i/>
      <w:iCs/>
    </w:rPr>
  </w:style>
  <w:style w:type="paragraph" w:styleId="ListBullet">
    <w:name w:val="List Bullet"/>
    <w:basedOn w:val="Normal"/>
    <w:qFormat/>
    <w:pPr>
      <w:numPr>
        <w:ilvl w:val="0"/>
        <w:numId w:val="2"/>
      </w:numPr>
    </w:pPr>
    <w:rPr>
      <w:sz w:val="20"/>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kesh@snapstream.com"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HAN Template</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2001-04-16T18:58:00Z</dcterms:created>
  <dc:creator>Michelle Weisblatt</dc:creator>
  <dc:description/>
  <dc:language>en-CA</dc:language>
  <cp:lastModifiedBy>HTCLaptop</cp:lastModifiedBy>
  <cp:lastPrinted>2001-04-12T09:12:00Z</cp:lastPrinted>
  <dcterms:modified xsi:type="dcterms:W3CDTF">2001-04-16T18:58:00Z</dcterms:modified>
  <cp:revision>2</cp:revision>
  <dc:subject/>
  <dc:title>FreeAdService</dc:title>
</cp:coreProperties>
</file>