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rFonts w:ascii="Arial" w:hAnsi="Arial" w:cs="Arial"/>
        </w:rPr>
      </w:pPr>
      <w:r>
        <w:rPr>
          <w:rFonts w:cs="Arial" w:ascii="Arial" w:hAnsi="Arial"/>
        </w:rPr>
      </w:r>
    </w:p>
    <w:p>
      <w:pPr>
        <w:pStyle w:val="Heading6"/>
        <w:ind w:hanging="0" w:start="0"/>
        <w:rPr>
          <w:rFonts w:ascii="Arial" w:hAnsi="Arial" w:cs="Arial"/>
        </w:rPr>
      </w:pPr>
      <w:r>
        <w:rPr>
          <w:rFonts w:cs="Arial" w:ascii="Arial" w:hAnsi="Arial"/>
        </w:rPr>
        <w:t>Company.com</w:t>
      </w:r>
    </w:p>
    <w:p>
      <w:pPr>
        <w:pStyle w:val="Normal"/>
        <w:jc w:val="both"/>
        <w:rPr>
          <w:rFonts w:ascii="Arial" w:hAnsi="Arial" w:cs="Arial"/>
          <w:bCs/>
          <w:i/>
          <w:i/>
          <w:iCs/>
          <w:sz w:val="20"/>
          <w:lang w:val="en-CA" w:eastAsia="en-CA"/>
        </w:rPr>
      </w:pPr>
      <w:r>
        <w:rPr>
          <w:rFonts w:cs="Arial" w:ascii="Arial" w:hAnsi="Arial"/>
          <w:bCs/>
          <w:i/>
          <w:iCs/>
          <w:sz w:val="20"/>
          <w:lang w:val="en-CA" w:eastAsia="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73025</wp:posOffset>
                </wp:positionV>
                <wp:extent cx="6629400" cy="0"/>
                <wp:effectExtent l="0" t="8255" r="0" b="8255"/>
                <wp:wrapNone/>
                <wp:docPr id="1" name=""/>
                <a:graphic xmlns:a="http://schemas.openxmlformats.org/drawingml/2006/main">
                  <a:graphicData uri="http://schemas.microsoft.com/office/word/2010/wordprocessingShape">
                    <wps:wsp>
                      <wps:cNvSpPr/>
                      <wps:spPr>
                        <a:xfrm>
                          <a:off x="0" y="0"/>
                          <a:ext cx="6629400" cy="0"/>
                        </a:xfrm>
                        <a:prstGeom prst="line">
                          <a:avLst/>
                        </a:prstGeom>
                        <a:ln w="15840">
                          <a:solidFill>
                            <a:srgbClr val="000000"/>
                          </a:solidFill>
                          <a:miter/>
                        </a:ln>
                      </wps:spPr>
                      <wps:style>
                        <a:lnRef idx="0"/>
                        <a:fillRef idx="0"/>
                        <a:effectRef idx="0"/>
                        <a:fontRef idx="minor"/>
                      </wps:style>
                      <wps:bodyPr/>
                    </wps:wsp>
                  </a:graphicData>
                </a:graphic>
              </wp:anchor>
            </w:drawing>
          </mc:Choice>
          <mc:Fallback>
            <w:pict>
              <v:line id="shape_0" from="0pt,5.75pt" to="521.95pt,5.75pt" stroked="t" o:allowincell="f" style="position:absolute">
                <v:stroke color="black" weight="15840" joinstyle="miter" endcap="flat"/>
                <v:fill o:detectmouseclick="t" on="false"/>
                <w10:wrap type="none"/>
              </v:line>
            </w:pict>
          </mc:Fallback>
        </mc:AlternateContent>
      </w:r>
    </w:p>
    <w:p>
      <w:pPr>
        <w:pStyle w:val="HANOverview"/>
        <w:rPr/>
      </w:pPr>
      <w:r>
        <w:rPr/>
        <w:t>Company.com is the leading online widget distributing widgets to users via a web-enabled, B2B exchange.  The company has developed a winning formula for profitability by developing a zero cost consumer/member acquisition strategy and has agreements for several key strategic partners.</w:t>
      </w:r>
    </w:p>
    <w:p>
      <w:pPr>
        <w:pStyle w:val="Normal"/>
        <w:jc w:val="both"/>
        <w:rPr>
          <w:rFonts w:ascii="Arial" w:hAnsi="Arial" w:cs="Arial"/>
          <w:b/>
          <w:sz w:val="20"/>
        </w:rPr>
      </w:pPr>
      <w:r>
        <w:rPr>
          <w:rFonts w:cs="Arial" w:ascii="Arial" w:hAnsi="Arial"/>
          <w:b/>
          <w:sz w:val="20"/>
        </w:rPr>
      </w:r>
    </w:p>
    <w:p>
      <w:pPr>
        <w:pStyle w:val="HANSectionTitle"/>
        <w:rPr/>
      </w:pPr>
      <w:r>
        <w:rPr/>
        <w:t>Product</w:t>
      </w:r>
    </w:p>
    <w:p>
      <w:pPr>
        <w:pStyle w:val="HAN1stBullet"/>
        <w:numPr>
          <w:ilvl w:val="0"/>
          <w:numId w:val="2"/>
        </w:numPr>
        <w:ind w:hanging="0" w:start="0"/>
        <w:rPr/>
      </w:pPr>
      <w:r>
        <w:rPr/>
        <w:t xml:space="preserve">Company.com offers a unique, user-friendly, interface that facilitates trading activity and communication among auction participants.  Because traditional distribution channels typically rely on antiquated methods of communication, Company.com promises to provide a service that will, in the short term be used as a tool by industry “middlemen”.  In the long term however, management anticipates channel conflict and the complete elimination of one step in the traditional distribution channel.   </w:t>
      </w:r>
    </w:p>
    <w:p>
      <w:pPr>
        <w:pStyle w:val="HAN1stBullet"/>
        <w:numPr>
          <w:ilvl w:val="0"/>
          <w:numId w:val="2"/>
        </w:numPr>
        <w:ind w:hanging="0" w:start="0"/>
        <w:rPr/>
      </w:pPr>
      <w:r>
        <w:rPr/>
        <w:t>The company will effectively reach our target market and derive revenues from multiple sources including: advertising, e-commerce, strategic affiliate revenue, and technology services/content syndication.</w:t>
      </w:r>
    </w:p>
    <w:p>
      <w:pPr>
        <w:pStyle w:val="Normal"/>
        <w:jc w:val="both"/>
        <w:rPr>
          <w:rFonts w:ascii="Arial" w:hAnsi="Arial" w:cs="Arial"/>
          <w:sz w:val="20"/>
        </w:rPr>
      </w:pPr>
      <w:r>
        <w:rPr>
          <w:rFonts w:cs="Arial" w:ascii="Arial" w:hAnsi="Arial"/>
          <w:sz w:val="20"/>
        </w:rPr>
      </w:r>
    </w:p>
    <w:p>
      <w:pPr>
        <w:pStyle w:val="HANSectionTitle"/>
        <w:rPr>
          <w:b w:val="false"/>
          <w:bCs w:val="false"/>
        </w:rPr>
      </w:pPr>
      <w:r>
        <w:rPr/>
        <w:t>Market</w:t>
      </w:r>
    </w:p>
    <w:p>
      <w:pPr>
        <w:pStyle w:val="HAN1stBullet"/>
        <w:numPr>
          <w:ilvl w:val="0"/>
          <w:numId w:val="2"/>
        </w:numPr>
        <w:ind w:hanging="0" w:start="0"/>
        <w:rPr/>
      </w:pPr>
      <w:r>
        <w:rPr/>
        <w:t>The target market is buyers and sellers of widgets.</w:t>
      </w:r>
    </w:p>
    <w:p>
      <w:pPr>
        <w:pStyle w:val="HAN1stBullet"/>
        <w:numPr>
          <w:ilvl w:val="0"/>
          <w:numId w:val="2"/>
        </w:numPr>
        <w:ind w:hanging="0" w:start="0"/>
        <w:rPr/>
      </w:pPr>
      <w:r>
        <w:rPr>
          <w:color w:val="000000"/>
        </w:rPr>
        <w:t>Based on XYZ research, the US market boasts 77 million potential customers, with spending power of $350 billion</w:t>
      </w:r>
      <w:r>
        <w:rPr>
          <w:rStyle w:val="FootnoteReference"/>
          <w:color w:val="000000"/>
          <w:vertAlign w:val="superscript"/>
        </w:rPr>
        <w:footnoteReference w:id="2"/>
      </w:r>
      <w:r>
        <w:rPr>
          <w:color w:val="000000"/>
        </w:rPr>
        <w:t xml:space="preserve">. </w:t>
      </w:r>
    </w:p>
    <w:p>
      <w:pPr>
        <w:pStyle w:val="HAN1stBullet"/>
        <w:numPr>
          <w:ilvl w:val="0"/>
          <w:numId w:val="2"/>
        </w:numPr>
        <w:ind w:hanging="0" w:start="0"/>
        <w:rPr/>
      </w:pPr>
      <w:r>
        <w:rPr>
          <w:color w:val="000000"/>
        </w:rPr>
        <w:t>The market is projected to grow 25% per year, as the demand for widgets increases and as the market channels become more efficient.</w:t>
      </w:r>
    </w:p>
    <w:p>
      <w:pPr>
        <w:pStyle w:val="HAN1stBullet"/>
        <w:numPr>
          <w:ilvl w:val="0"/>
          <w:numId w:val="2"/>
        </w:numPr>
        <w:ind w:hanging="0" w:start="0"/>
        <w:rPr/>
      </w:pPr>
      <w:r>
        <w:rPr/>
        <w:t>In addition there is an international market for widgets that has been estimated at $100 billion.</w:t>
      </w:r>
    </w:p>
    <w:p>
      <w:pPr>
        <w:pStyle w:val="Normal"/>
        <w:ind w:start="360" w:end="0"/>
        <w:jc w:val="both"/>
        <w:rPr/>
      </w:pPr>
      <w:r>
        <w:rPr/>
        <w:t xml:space="preserve"> </w:t>
      </w:r>
    </w:p>
    <w:p>
      <w:pPr>
        <w:pStyle w:val="HANSectionTitle"/>
        <w:rPr/>
      </w:pPr>
      <w:r>
        <w:rPr/>
        <w:t>Strategic Partners</w:t>
      </w:r>
    </w:p>
    <w:p>
      <w:pPr>
        <w:pStyle w:val="HAN1stBullet"/>
        <w:numPr>
          <w:ilvl w:val="0"/>
          <w:numId w:val="2"/>
        </w:numPr>
        <w:ind w:hanging="0" w:start="0"/>
        <w:rPr/>
      </w:pPr>
      <w:r>
        <w:rPr/>
        <w:t>Company.com has developed strategic relationships and marketing alliances with several key widget manufacturers including three of the industry leaders, XYZ, ABC, and GHF.</w:t>
      </w:r>
    </w:p>
    <w:p>
      <w:pPr>
        <w:pStyle w:val="HAN1stBullet"/>
        <w:numPr>
          <w:ilvl w:val="0"/>
          <w:numId w:val="2"/>
        </w:numPr>
        <w:ind w:hanging="0" w:start="0"/>
        <w:rPr/>
      </w:pPr>
      <w:r>
        <w:rPr/>
        <w:t xml:space="preserve">The company recently closed an contract to be the exclusive auction site for MMM, a worldwide and dominant buyer of widgets.    </w:t>
      </w:r>
    </w:p>
    <w:p>
      <w:pPr>
        <w:pStyle w:val="Normal"/>
        <w:jc w:val="both"/>
        <w:rPr>
          <w:rFonts w:ascii="Arial" w:hAnsi="Arial" w:cs="Arial"/>
          <w:sz w:val="20"/>
        </w:rPr>
      </w:pPr>
      <w:r>
        <w:rPr>
          <w:rFonts w:cs="Arial" w:ascii="Arial" w:hAnsi="Arial"/>
          <w:sz w:val="20"/>
        </w:rPr>
      </w:r>
    </w:p>
    <w:p>
      <w:pPr>
        <w:pStyle w:val="HANSectionTitle"/>
        <w:rPr/>
      </w:pPr>
      <w:r>
        <w:rPr/>
        <w:t>Competition</w:t>
      </w:r>
    </w:p>
    <w:p>
      <w:pPr>
        <w:pStyle w:val="HAN1stBullet"/>
        <w:numPr>
          <w:ilvl w:val="0"/>
          <w:numId w:val="2"/>
        </w:numPr>
        <w:ind w:hanging="0" w:start="0"/>
        <w:rPr/>
      </w:pPr>
      <w:r>
        <w:rPr/>
        <w:t>Company.com has identified two direct competitors. The first is Distributor.com; a brick and mortar incumbant with an online presence.  The second is Seller.com; a lifestyle website focusing sellers only.</w:t>
      </w:r>
    </w:p>
    <w:p>
      <w:pPr>
        <w:pStyle w:val="HAN1stBullet"/>
        <w:numPr>
          <w:ilvl w:val="0"/>
          <w:numId w:val="2"/>
        </w:numPr>
        <w:ind w:hanging="0" w:start="0"/>
        <w:rPr/>
      </w:pPr>
      <w:r>
        <w:rPr/>
        <w:t>Other online ventures such as Widgets are not currently in the online space, but may chose to develop technology that would enable them to become a potential competitor.</w:t>
      </w:r>
    </w:p>
    <w:p>
      <w:pPr>
        <w:pStyle w:val="HAN1stBullet"/>
        <w:numPr>
          <w:ilvl w:val="0"/>
          <w:numId w:val="2"/>
        </w:numPr>
        <w:ind w:hanging="0" w:start="0"/>
        <w:rPr>
          <w:bCs/>
          <w:iCs/>
        </w:rPr>
      </w:pPr>
      <w:r>
        <w:rPr/>
        <w:t xml:space="preserve">Indirect competitors include traditional middlemen.  </w:t>
      </w:r>
    </w:p>
    <w:p>
      <w:pPr>
        <w:pStyle w:val="HAN1stBullet"/>
        <w:numPr>
          <w:ilvl w:val="0"/>
          <w:numId w:val="0"/>
        </w:numPr>
        <w:ind w:hanging="0" w:start="0"/>
        <w:rPr>
          <w:bCs/>
          <w:iCs/>
        </w:rPr>
      </w:pPr>
      <w:r>
        <w:rPr>
          <w:bCs/>
          <w:iCs/>
        </w:rPr>
      </w:r>
    </w:p>
    <w:p>
      <w:pPr>
        <w:pStyle w:val="HANSectionTitle"/>
        <w:rPr/>
      </w:pPr>
      <w:r>
        <w:rPr/>
        <w:t>Competitive Advantages</w:t>
      </w:r>
    </w:p>
    <w:p>
      <w:pPr>
        <w:pStyle w:val="HAN1stBullet"/>
        <w:numPr>
          <w:ilvl w:val="0"/>
          <w:numId w:val="2"/>
        </w:numPr>
        <w:ind w:hanging="0" w:start="0"/>
        <w:rPr/>
      </w:pPr>
      <w:r>
        <w:rPr>
          <w:b/>
          <w:bCs/>
          <w:i/>
          <w:iCs/>
        </w:rPr>
        <w:t>Strategic Marketing</w:t>
      </w:r>
      <w:r>
        <w:rPr/>
        <w:t xml:space="preserve"> - Company.com has developed a 100% performance-based marketing strategy thru a variety of partners including a major widget manufacturer.  </w:t>
      </w:r>
    </w:p>
    <w:p>
      <w:pPr>
        <w:pStyle w:val="HAN1stBullet"/>
        <w:numPr>
          <w:ilvl w:val="0"/>
          <w:numId w:val="2"/>
        </w:numPr>
        <w:ind w:hanging="0" w:start="0"/>
        <w:rPr/>
      </w:pPr>
      <w:r>
        <w:rPr>
          <w:b/>
          <w:bCs/>
          <w:i/>
          <w:iCs/>
        </w:rPr>
        <w:t>Membership Acquisition Engine</w:t>
      </w:r>
      <w:r>
        <w:rPr/>
        <w:t xml:space="preserve"> – Through strategic commission relationships, Widget.com has developed a revenue strategy that will first equalize the cost of membership acquisition, and ultimately will become a profitable membership acquisition engine.</w:t>
      </w:r>
    </w:p>
    <w:p>
      <w:pPr>
        <w:pStyle w:val="HAN1stBullet"/>
        <w:numPr>
          <w:ilvl w:val="0"/>
          <w:numId w:val="2"/>
        </w:numPr>
        <w:ind w:hanging="0" w:start="0"/>
        <w:rPr/>
      </w:pPr>
      <w:r>
        <w:rPr>
          <w:b/>
          <w:bCs/>
          <w:i/>
          <w:iCs/>
        </w:rPr>
        <w:t>Exclusive eCommerce Contracts</w:t>
      </w:r>
      <w:r>
        <w:rPr/>
        <w:t xml:space="preserve"> – Exclusive contracts with leading buyers and sellers of widgets effectively bar new competitors from infringing on the company’s space.   </w:t>
      </w:r>
    </w:p>
    <w:p>
      <w:pPr>
        <w:pStyle w:val="Heading9"/>
        <w:ind w:hanging="0" w:start="0"/>
        <w:jc w:val="both"/>
        <w:rPr/>
      </w:pPr>
      <w:r>
        <w:rPr/>
      </w:r>
    </w:p>
    <w:p>
      <w:pPr>
        <w:pStyle w:val="HANSectionTitle"/>
        <w:rPr/>
      </w:pPr>
      <w:r>
        <w:rPr/>
        <w:t>Organizational Information</w:t>
      </w:r>
    </w:p>
    <w:p>
      <w:pPr>
        <w:pStyle w:val="HANSubtitle"/>
        <w:rPr/>
      </w:pPr>
      <w:r>
        <w:rPr/>
        <w:t>Management Team</w:t>
      </w:r>
    </w:p>
    <w:p>
      <w:pPr>
        <w:pStyle w:val="HAN1stBullet"/>
        <w:numPr>
          <w:ilvl w:val="0"/>
          <w:numId w:val="2"/>
        </w:numPr>
        <w:ind w:hanging="0" w:start="0"/>
        <w:rPr/>
      </w:pPr>
      <w:r>
        <w:rPr>
          <w:b/>
          <w:iCs/>
          <w:color w:val="000000"/>
        </w:rPr>
        <w:t>John Doe</w:t>
      </w:r>
      <w:r>
        <w:rPr>
          <w:iCs/>
          <w:color w:val="000000"/>
        </w:rPr>
        <w:t xml:space="preserve">, </w:t>
      </w:r>
      <w:r>
        <w:rPr>
          <w:b/>
          <w:iCs/>
          <w:color w:val="000000"/>
        </w:rPr>
        <w:t>CEO &amp; Chairman</w:t>
      </w:r>
      <w:r>
        <w:rPr>
          <w:b/>
          <w:i/>
          <w:color w:val="000000"/>
        </w:rPr>
        <w:t xml:space="preserve"> - </w:t>
      </w:r>
      <w:r>
        <w:rPr/>
        <w:t xml:space="preserve">Co-Founder of Company.com. BS in Industrial Distribution, Texas A &amp; M University. Seven years experience as a sales executive in the mutual fund industry with Janus.  </w:t>
      </w:r>
    </w:p>
    <w:p>
      <w:pPr>
        <w:pStyle w:val="HAN1stBullet"/>
        <w:numPr>
          <w:ilvl w:val="0"/>
          <w:numId w:val="2"/>
        </w:numPr>
        <w:ind w:hanging="0" w:start="0"/>
        <w:rPr/>
      </w:pPr>
      <w:r>
        <w:rPr>
          <w:b/>
          <w:iCs/>
        </w:rPr>
        <w:t>Jane Doe, President &amp; Vice-Chairman</w:t>
      </w:r>
      <w:r>
        <w:rPr>
          <w:b/>
          <w:i/>
        </w:rPr>
        <w:t xml:space="preserve"> </w:t>
      </w:r>
      <w:r>
        <w:rPr>
          <w:b/>
        </w:rPr>
        <w:t xml:space="preserve"> - </w:t>
      </w:r>
      <w:r>
        <w:rPr/>
        <w:t>Co-founder; Company.com. BS in Business, University of Houston. Co-founder; Widget Technologies; 8 years startup experience, responsible for operations, sales &amp; marketing, vendor relations, developed quotation software, website development.</w:t>
      </w:r>
    </w:p>
    <w:p>
      <w:pPr>
        <w:pStyle w:val="HAN1stBullet"/>
        <w:numPr>
          <w:ilvl w:val="0"/>
          <w:numId w:val="2"/>
        </w:numPr>
        <w:ind w:hanging="0" w:start="0"/>
        <w:rPr/>
      </w:pPr>
      <w:r>
        <w:rPr>
          <w:b/>
          <w:iCs/>
        </w:rPr>
        <w:t>Sam Smith, VP Business Development</w:t>
      </w:r>
      <w:r>
        <w:rPr>
          <w:b/>
        </w:rPr>
        <w:t xml:space="preserve"> - </w:t>
      </w:r>
      <w:r>
        <w:rPr/>
        <w:t>BS in Business Administration, Cum Laude, University of Texas. Instrumental in the company’s rapid growth and recognition as both an INC 500 and Houston 100 national company</w:t>
      </w:r>
    </w:p>
    <w:p>
      <w:pPr>
        <w:pStyle w:val="HANSubtitle"/>
        <w:ind w:start="720" w:end="0"/>
        <w:rPr/>
      </w:pPr>
      <w:r>
        <w:rPr/>
      </w:r>
    </w:p>
    <w:p>
      <w:pPr>
        <w:pStyle w:val="HANSubtitle"/>
        <w:rPr/>
      </w:pPr>
      <w:r>
        <w:rPr/>
        <w:t>Outside Directors</w:t>
      </w:r>
    </w:p>
    <w:p>
      <w:pPr>
        <w:pStyle w:val="HAN1stBullet"/>
        <w:numPr>
          <w:ilvl w:val="0"/>
          <w:numId w:val="2"/>
        </w:numPr>
        <w:ind w:hanging="0" w:start="0"/>
        <w:rPr/>
      </w:pPr>
      <w:r>
        <w:rPr>
          <w:b/>
          <w:iCs/>
        </w:rPr>
        <w:t>Paul Frison, Director</w:t>
      </w:r>
      <w:r>
        <w:rPr>
          <w:b/>
          <w:i/>
        </w:rPr>
        <w:t xml:space="preserve"> - </w:t>
      </w:r>
      <w:r>
        <w:rPr/>
        <w:t xml:space="preserve">Co-Founder of HTC.   Currently president of the XYZ Group, and serves on the Board of Directors several public companies. </w:t>
      </w:r>
    </w:p>
    <w:p>
      <w:pPr>
        <w:pStyle w:val="HAN1stBullet"/>
        <w:numPr>
          <w:ilvl w:val="0"/>
          <w:numId w:val="2"/>
        </w:numPr>
        <w:ind w:hanging="0" w:start="0"/>
        <w:rPr/>
      </w:pPr>
      <w:r>
        <w:rPr>
          <w:b/>
          <w:iCs/>
        </w:rPr>
        <w:t>Gray Hancock, Director</w:t>
      </w:r>
      <w:r>
        <w:rPr>
          <w:b/>
          <w:i/>
        </w:rPr>
        <w:t xml:space="preserve"> - </w:t>
      </w:r>
      <w:r>
        <w:rPr/>
        <w:t xml:space="preserve">Owner and CEO of a large company in San Antonio, TX. Responsible for raising capital for several private placement offerings. Attended the University of Texas at Austin and Trinity University in San Antonio. </w:t>
      </w:r>
    </w:p>
    <w:p>
      <w:pPr>
        <w:pStyle w:val="HAN1stBullet"/>
        <w:numPr>
          <w:ilvl w:val="0"/>
          <w:numId w:val="2"/>
        </w:numPr>
        <w:ind w:hanging="0" w:start="0"/>
        <w:rPr/>
      </w:pPr>
      <w:r>
        <w:rPr>
          <w:b/>
          <w:iCs/>
          <w:color w:val="000000"/>
        </w:rPr>
        <w:t>Frank Karbarz, Director</w:t>
      </w:r>
      <w:r>
        <w:rPr>
          <w:b/>
          <w:i/>
          <w:color w:val="000000"/>
        </w:rPr>
        <w:t xml:space="preserve"> - </w:t>
      </w:r>
      <w:r>
        <w:rPr/>
        <w:t>BS in Accounting, Northwestern University; MBA, Southern Methodist University; CPA; Director of IP Communications, Inc. Former CFO, i2 Technologies, Inc. (NASDAQ: ITWO). Architect and executor of i2’s highly successful 1996 IPO.</w:t>
      </w:r>
    </w:p>
    <w:p>
      <w:pPr>
        <w:pStyle w:val="HAN1stBullet"/>
        <w:numPr>
          <w:ilvl w:val="0"/>
          <w:numId w:val="2"/>
        </w:numPr>
        <w:ind w:hanging="0" w:start="0"/>
        <w:rPr/>
      </w:pPr>
      <w:r>
        <w:rPr>
          <w:b/>
          <w:iCs/>
        </w:rPr>
        <w:t>Juan Samudio, Director</w:t>
      </w:r>
      <w:r>
        <w:rPr/>
        <w:t xml:space="preserve"> - Managing Director of XYZ Financial Corporation; past Chairman and CEO.  Degrees from USMA, Georgetown, and Columbia Business School.  </w:t>
      </w:r>
    </w:p>
    <w:p>
      <w:pPr>
        <w:pStyle w:val="Normal"/>
        <w:tabs>
          <w:tab w:val="clear" w:pos="720"/>
          <w:tab w:val="left" w:pos="-720" w:leader="none"/>
        </w:tabs>
        <w:suppressAutoHyphens w:val="true"/>
        <w:jc w:val="both"/>
        <w:rPr>
          <w:rFonts w:ascii="Arial" w:hAnsi="Arial" w:cs="Arial"/>
          <w:iCs/>
          <w:color w:val="FF0000"/>
          <w:sz w:val="20"/>
        </w:rPr>
      </w:pPr>
      <w:r>
        <w:rPr>
          <w:rFonts w:cs="Arial" w:ascii="Arial" w:hAnsi="Arial"/>
          <w:iCs/>
          <w:color w:val="FF0000"/>
          <w:sz w:val="20"/>
        </w:rPr>
      </w:r>
    </w:p>
    <w:p>
      <w:pPr>
        <w:pStyle w:val="HANSectionTitle"/>
        <w:rPr/>
      </w:pPr>
      <w:r>
        <w:rPr/>
        <w:t>Financial Projections</w:t>
      </w:r>
    </w:p>
    <w:tbl>
      <w:tblPr>
        <w:tblW w:w="5000" w:type="pct"/>
        <w:jc w:val="start"/>
        <w:tblInd w:w="0" w:type="dxa"/>
        <w:tblLayout w:type="fixed"/>
        <w:tblCellMar>
          <w:top w:w="15" w:type="dxa"/>
          <w:start w:w="15" w:type="dxa"/>
          <w:bottom w:w="0" w:type="dxa"/>
          <w:end w:w="15" w:type="dxa"/>
        </w:tblCellMar>
      </w:tblPr>
      <w:tblGrid>
        <w:gridCol w:w="1704"/>
        <w:gridCol w:w="1704"/>
        <w:gridCol w:w="1704"/>
        <w:gridCol w:w="1704"/>
        <w:gridCol w:w="1703"/>
        <w:gridCol w:w="1705"/>
      </w:tblGrid>
      <w:tr>
        <w:trPr>
          <w:trHeight w:val="255" w:hRule="atLeast"/>
        </w:trPr>
        <w:tc>
          <w:tcPr>
            <w:tcW w:w="1704" w:type="dxa"/>
            <w:tcBorders/>
            <w:vAlign w:val="bottom"/>
          </w:tcPr>
          <w:p>
            <w:pPr>
              <w:pStyle w:val="Normal"/>
              <w:ind w:end="-54"/>
              <w:rPr>
                <w:rFonts w:ascii="Arial" w:hAnsi="Arial" w:cs="Arial"/>
              </w:rPr>
            </w:pPr>
            <w:r>
              <w:rPr>
                <w:rFonts w:cs="Arial" w:ascii="Arial" w:hAnsi="Arial"/>
              </w:rPr>
              <w:t> </w:t>
            </w:r>
          </w:p>
        </w:tc>
        <w:tc>
          <w:tcPr>
            <w:tcW w:w="1704" w:type="dxa"/>
            <w:tcBorders/>
            <w:vAlign w:val="bottom"/>
          </w:tcPr>
          <w:p>
            <w:pPr>
              <w:pStyle w:val="Normal"/>
              <w:ind w:end="-54"/>
              <w:jc w:val="center"/>
              <w:rPr>
                <w:rFonts w:ascii="Arial" w:hAnsi="Arial" w:cs="Arial"/>
                <w:b/>
                <w:bCs/>
                <w:i/>
                <w:i/>
                <w:iCs/>
                <w:sz w:val="18"/>
                <w:u w:val="single"/>
              </w:rPr>
            </w:pPr>
            <w:r>
              <w:rPr>
                <w:rFonts w:cs="Arial" w:ascii="Arial" w:hAnsi="Arial"/>
                <w:b/>
                <w:bCs/>
                <w:i/>
                <w:iCs/>
                <w:sz w:val="18"/>
                <w:u w:val="single"/>
              </w:rPr>
              <w:t>2000</w:t>
            </w:r>
          </w:p>
        </w:tc>
        <w:tc>
          <w:tcPr>
            <w:tcW w:w="1704" w:type="dxa"/>
            <w:tcBorders/>
            <w:vAlign w:val="bottom"/>
          </w:tcPr>
          <w:p>
            <w:pPr>
              <w:pStyle w:val="Normal"/>
              <w:ind w:end="-54"/>
              <w:jc w:val="center"/>
              <w:rPr>
                <w:rFonts w:ascii="Arial" w:hAnsi="Arial" w:cs="Arial"/>
                <w:b/>
                <w:bCs/>
                <w:i/>
                <w:i/>
                <w:iCs/>
                <w:sz w:val="18"/>
                <w:u w:val="single"/>
              </w:rPr>
            </w:pPr>
            <w:r>
              <w:rPr>
                <w:rFonts w:cs="Arial" w:ascii="Arial" w:hAnsi="Arial"/>
                <w:b/>
                <w:bCs/>
                <w:i/>
                <w:iCs/>
                <w:sz w:val="18"/>
                <w:u w:val="single"/>
              </w:rPr>
              <w:t>2001</w:t>
            </w:r>
          </w:p>
        </w:tc>
        <w:tc>
          <w:tcPr>
            <w:tcW w:w="1704" w:type="dxa"/>
            <w:tcBorders/>
            <w:vAlign w:val="bottom"/>
          </w:tcPr>
          <w:p>
            <w:pPr>
              <w:pStyle w:val="Normal"/>
              <w:ind w:end="-54"/>
              <w:jc w:val="center"/>
              <w:rPr>
                <w:rFonts w:ascii="Arial" w:hAnsi="Arial" w:cs="Arial"/>
                <w:b/>
                <w:bCs/>
                <w:i/>
                <w:i/>
                <w:iCs/>
                <w:sz w:val="18"/>
                <w:u w:val="single"/>
              </w:rPr>
            </w:pPr>
            <w:r>
              <w:rPr>
                <w:rFonts w:cs="Arial" w:ascii="Arial" w:hAnsi="Arial"/>
                <w:b/>
                <w:bCs/>
                <w:i/>
                <w:iCs/>
                <w:sz w:val="18"/>
                <w:u w:val="single"/>
              </w:rPr>
              <w:t>2002</w:t>
            </w:r>
          </w:p>
        </w:tc>
        <w:tc>
          <w:tcPr>
            <w:tcW w:w="1703" w:type="dxa"/>
            <w:tcBorders/>
            <w:vAlign w:val="bottom"/>
          </w:tcPr>
          <w:p>
            <w:pPr>
              <w:pStyle w:val="Normal"/>
              <w:ind w:end="-54"/>
              <w:jc w:val="center"/>
              <w:rPr>
                <w:rFonts w:ascii="Arial" w:hAnsi="Arial" w:cs="Arial"/>
                <w:b/>
                <w:bCs/>
                <w:i/>
                <w:i/>
                <w:iCs/>
                <w:sz w:val="18"/>
                <w:u w:val="single"/>
              </w:rPr>
            </w:pPr>
            <w:r>
              <w:rPr>
                <w:rFonts w:cs="Arial" w:ascii="Arial" w:hAnsi="Arial"/>
                <w:b/>
                <w:bCs/>
                <w:i/>
                <w:iCs/>
                <w:sz w:val="18"/>
                <w:u w:val="single"/>
              </w:rPr>
              <w:t>2003</w:t>
            </w:r>
          </w:p>
        </w:tc>
        <w:tc>
          <w:tcPr>
            <w:tcW w:w="1705" w:type="dxa"/>
            <w:tcBorders/>
            <w:vAlign w:val="bottom"/>
          </w:tcPr>
          <w:p>
            <w:pPr>
              <w:pStyle w:val="Normal"/>
              <w:ind w:end="-54"/>
              <w:jc w:val="center"/>
              <w:rPr>
                <w:rFonts w:ascii="Arial" w:hAnsi="Arial" w:cs="Arial"/>
                <w:b/>
                <w:bCs/>
                <w:i/>
                <w:i/>
                <w:iCs/>
                <w:sz w:val="18"/>
                <w:u w:val="single"/>
              </w:rPr>
            </w:pPr>
            <w:r>
              <w:rPr>
                <w:rFonts w:cs="Arial" w:ascii="Arial" w:hAnsi="Arial"/>
                <w:b/>
                <w:bCs/>
                <w:i/>
                <w:iCs/>
                <w:sz w:val="18"/>
                <w:u w:val="single"/>
              </w:rPr>
              <w:t>2004</w:t>
            </w:r>
          </w:p>
        </w:tc>
      </w:tr>
      <w:tr>
        <w:trPr>
          <w:trHeight w:val="255" w:hRule="atLeast"/>
        </w:trPr>
        <w:tc>
          <w:tcPr>
            <w:tcW w:w="1704" w:type="dxa"/>
            <w:tcBorders/>
            <w:vAlign w:val="bottom"/>
          </w:tcPr>
          <w:p>
            <w:pPr>
              <w:pStyle w:val="Heading8"/>
              <w:ind w:hanging="0" w:start="0"/>
              <w:rPr>
                <w:rFonts w:ascii="Arial" w:hAnsi="Arial" w:cs="Arial"/>
                <w:b w:val="false"/>
                <w:bCs w:val="false"/>
                <w:i w:val="false"/>
                <w:i w:val="false"/>
                <w:iCs/>
                <w:sz w:val="20"/>
              </w:rPr>
            </w:pPr>
            <w:r>
              <w:rPr>
                <w:rFonts w:cs="Arial" w:ascii="Arial" w:hAnsi="Arial"/>
                <w:b w:val="false"/>
                <w:bCs w:val="false"/>
                <w:i w:val="false"/>
                <w:iCs/>
                <w:sz w:val="20"/>
              </w:rPr>
              <w:t>Revenue</w:t>
            </w:r>
          </w:p>
        </w:tc>
        <w:tc>
          <w:tcPr>
            <w:tcW w:w="1704" w:type="dxa"/>
            <w:tcBorders/>
          </w:tcPr>
          <w:p>
            <w:pPr>
              <w:pStyle w:val="Normal"/>
              <w:ind w:end="172"/>
              <w:jc w:val="end"/>
              <w:rPr/>
            </w:pPr>
            <w:r>
              <w:rPr>
                <w:rFonts w:eastAsia="Arial" w:cs="Arial" w:ascii="Arial" w:hAnsi="Arial"/>
                <w:sz w:val="20"/>
              </w:rPr>
              <w:t xml:space="preserve"> </w:t>
            </w:r>
            <w:r>
              <w:rPr>
                <w:rFonts w:cs="Arial" w:ascii="Arial" w:hAnsi="Arial"/>
                <w:sz w:val="20"/>
              </w:rPr>
              <w:t>$448,787</w:t>
            </w:r>
            <w:r>
              <w:rPr>
                <w:rFonts w:cs="Arial" w:ascii="Arial" w:hAnsi="Arial"/>
              </w:rPr>
              <w:t xml:space="preserve">  </w:t>
            </w:r>
            <w:r>
              <w:rPr>
                <w:rFonts w:cs="Arial" w:ascii="Arial" w:hAnsi="Arial"/>
                <w:sz w:val="20"/>
              </w:rPr>
              <w:t xml:space="preserve"> </w:t>
            </w:r>
          </w:p>
        </w:tc>
        <w:tc>
          <w:tcPr>
            <w:tcW w:w="1704" w:type="dxa"/>
            <w:tcBorders/>
          </w:tcPr>
          <w:p>
            <w:pPr>
              <w:pStyle w:val="Normal"/>
              <w:ind w:end="94"/>
              <w:jc w:val="end"/>
              <w:rPr/>
            </w:pPr>
            <w:r>
              <w:rPr>
                <w:rFonts w:eastAsia="Arial" w:cs="Arial" w:ascii="Arial" w:hAnsi="Arial"/>
                <w:sz w:val="20"/>
              </w:rPr>
              <w:t xml:space="preserve"> </w:t>
            </w:r>
            <w:r>
              <w:rPr>
                <w:rFonts w:cs="Arial" w:ascii="Arial" w:hAnsi="Arial"/>
                <w:sz w:val="20"/>
              </w:rPr>
              <w:t>$4,427,343</w:t>
            </w:r>
            <w:r>
              <w:rPr>
                <w:rFonts w:cs="Arial" w:ascii="Arial" w:hAnsi="Arial"/>
              </w:rPr>
              <w:t xml:space="preserve"> </w:t>
            </w:r>
            <w:r>
              <w:rPr>
                <w:rFonts w:cs="Arial" w:ascii="Arial" w:hAnsi="Arial"/>
                <w:sz w:val="20"/>
              </w:rPr>
              <w:t xml:space="preserve"> </w:t>
            </w:r>
          </w:p>
        </w:tc>
        <w:tc>
          <w:tcPr>
            <w:tcW w:w="1704" w:type="dxa"/>
            <w:tcBorders/>
          </w:tcPr>
          <w:p>
            <w:pPr>
              <w:pStyle w:val="Normal"/>
              <w:ind w:end="104"/>
              <w:jc w:val="end"/>
              <w:rPr>
                <w:rFonts w:ascii="Arial" w:hAnsi="Arial" w:cs="Arial"/>
                <w:sz w:val="20"/>
              </w:rPr>
            </w:pPr>
            <w:r>
              <w:rPr>
                <w:rFonts w:eastAsia="Arial" w:cs="Arial" w:ascii="Arial" w:hAnsi="Arial"/>
                <w:sz w:val="20"/>
              </w:rPr>
              <w:t xml:space="preserve"> </w:t>
            </w:r>
            <w:r>
              <w:rPr>
                <w:rFonts w:cs="Arial" w:ascii="Arial" w:hAnsi="Arial"/>
                <w:sz w:val="20"/>
              </w:rPr>
              <w:t xml:space="preserve">$13,282,031 </w:t>
            </w:r>
          </w:p>
        </w:tc>
        <w:tc>
          <w:tcPr>
            <w:tcW w:w="1703" w:type="dxa"/>
            <w:tcBorders/>
          </w:tcPr>
          <w:p>
            <w:pPr>
              <w:pStyle w:val="Normal"/>
              <w:ind w:end="114"/>
              <w:jc w:val="end"/>
              <w:rPr>
                <w:rFonts w:ascii="Arial" w:hAnsi="Arial" w:cs="Arial"/>
                <w:sz w:val="20"/>
              </w:rPr>
            </w:pPr>
            <w:r>
              <w:rPr>
                <w:rFonts w:eastAsia="Arial" w:cs="Arial" w:ascii="Arial" w:hAnsi="Arial"/>
                <w:sz w:val="20"/>
              </w:rPr>
              <w:t xml:space="preserve"> </w:t>
            </w:r>
            <w:r>
              <w:rPr>
                <w:rFonts w:cs="Arial" w:ascii="Arial" w:hAnsi="Arial"/>
                <w:sz w:val="20"/>
              </w:rPr>
              <w:t xml:space="preserve">$26,564,062 </w:t>
            </w:r>
          </w:p>
        </w:tc>
        <w:tc>
          <w:tcPr>
            <w:tcW w:w="1705" w:type="dxa"/>
            <w:tcBorders/>
          </w:tcPr>
          <w:p>
            <w:pPr>
              <w:pStyle w:val="Normal"/>
              <w:ind w:end="126"/>
              <w:jc w:val="end"/>
              <w:rPr>
                <w:rFonts w:ascii="Arial" w:hAnsi="Arial" w:cs="Arial"/>
                <w:sz w:val="20"/>
              </w:rPr>
            </w:pPr>
            <w:r>
              <w:rPr>
                <w:rFonts w:eastAsia="Arial" w:cs="Arial" w:ascii="Arial" w:hAnsi="Arial"/>
                <w:sz w:val="20"/>
              </w:rPr>
              <w:t xml:space="preserve"> </w:t>
            </w:r>
            <w:r>
              <w:rPr>
                <w:rFonts w:cs="Arial" w:ascii="Arial" w:hAnsi="Arial"/>
                <w:sz w:val="20"/>
              </w:rPr>
              <w:t xml:space="preserve">$53,128,125 </w:t>
            </w:r>
          </w:p>
        </w:tc>
      </w:tr>
      <w:tr>
        <w:trPr>
          <w:trHeight w:val="255" w:hRule="atLeast"/>
        </w:trPr>
        <w:tc>
          <w:tcPr>
            <w:tcW w:w="1704" w:type="dxa"/>
            <w:tcBorders/>
            <w:vAlign w:val="bottom"/>
          </w:tcPr>
          <w:p>
            <w:pPr>
              <w:pStyle w:val="Normal"/>
              <w:ind w:end="-54"/>
              <w:rPr>
                <w:rFonts w:ascii="Arial" w:hAnsi="Arial" w:cs="Arial"/>
                <w:iCs/>
                <w:sz w:val="20"/>
              </w:rPr>
            </w:pPr>
            <w:r>
              <w:rPr>
                <w:rFonts w:cs="Arial" w:ascii="Arial" w:hAnsi="Arial"/>
                <w:iCs/>
                <w:sz w:val="20"/>
              </w:rPr>
              <w:t>Gross Profit</w:t>
            </w:r>
          </w:p>
        </w:tc>
        <w:tc>
          <w:tcPr>
            <w:tcW w:w="1704" w:type="dxa"/>
            <w:tcBorders/>
          </w:tcPr>
          <w:p>
            <w:pPr>
              <w:pStyle w:val="Normal"/>
              <w:ind w:end="172"/>
              <w:jc w:val="end"/>
              <w:rPr>
                <w:rFonts w:ascii="Arial" w:hAnsi="Arial" w:cs="Arial"/>
                <w:sz w:val="20"/>
              </w:rPr>
            </w:pPr>
            <w:r>
              <w:rPr>
                <w:rFonts w:eastAsia="Arial" w:cs="Arial" w:ascii="Arial" w:hAnsi="Arial"/>
                <w:sz w:val="20"/>
              </w:rPr>
              <w:t xml:space="preserve"> </w:t>
            </w:r>
            <w:r>
              <w:rPr>
                <w:rFonts w:cs="Arial" w:ascii="Arial" w:hAnsi="Arial"/>
                <w:sz w:val="20"/>
              </w:rPr>
              <w:t xml:space="preserve">$143,637 </w:t>
            </w:r>
          </w:p>
        </w:tc>
        <w:tc>
          <w:tcPr>
            <w:tcW w:w="1704" w:type="dxa"/>
            <w:tcBorders/>
          </w:tcPr>
          <w:p>
            <w:pPr>
              <w:pStyle w:val="Normal"/>
              <w:ind w:end="94"/>
              <w:jc w:val="end"/>
              <w:rPr>
                <w:rFonts w:ascii="Arial" w:hAnsi="Arial" w:cs="Arial"/>
                <w:sz w:val="20"/>
              </w:rPr>
            </w:pPr>
            <w:r>
              <w:rPr>
                <w:rFonts w:eastAsia="Arial" w:cs="Arial" w:ascii="Arial" w:hAnsi="Arial"/>
                <w:sz w:val="20"/>
              </w:rPr>
              <w:t xml:space="preserve"> </w:t>
            </w:r>
            <w:r>
              <w:rPr>
                <w:rFonts w:cs="Arial" w:ascii="Arial" w:hAnsi="Arial"/>
                <w:sz w:val="20"/>
              </w:rPr>
              <w:t xml:space="preserve">$2,431,250 </w:t>
            </w:r>
          </w:p>
        </w:tc>
        <w:tc>
          <w:tcPr>
            <w:tcW w:w="1704" w:type="dxa"/>
            <w:tcBorders/>
          </w:tcPr>
          <w:p>
            <w:pPr>
              <w:pStyle w:val="Normal"/>
              <w:ind w:end="104"/>
              <w:jc w:val="end"/>
              <w:rPr>
                <w:rFonts w:ascii="Arial" w:hAnsi="Arial" w:cs="Arial"/>
                <w:sz w:val="20"/>
              </w:rPr>
            </w:pPr>
            <w:r>
              <w:rPr>
                <w:rFonts w:eastAsia="Arial" w:cs="Arial" w:ascii="Arial" w:hAnsi="Arial"/>
                <w:sz w:val="20"/>
              </w:rPr>
              <w:t xml:space="preserve"> </w:t>
            </w:r>
            <w:r>
              <w:rPr>
                <w:rFonts w:cs="Arial" w:ascii="Arial" w:hAnsi="Arial"/>
                <w:sz w:val="20"/>
              </w:rPr>
              <w:t xml:space="preserve">$7,293,750 </w:t>
            </w:r>
          </w:p>
        </w:tc>
        <w:tc>
          <w:tcPr>
            <w:tcW w:w="1703" w:type="dxa"/>
            <w:tcBorders/>
          </w:tcPr>
          <w:p>
            <w:pPr>
              <w:pStyle w:val="Normal"/>
              <w:ind w:end="114"/>
              <w:jc w:val="end"/>
              <w:rPr>
                <w:rFonts w:ascii="Arial" w:hAnsi="Arial" w:cs="Arial"/>
                <w:sz w:val="20"/>
              </w:rPr>
            </w:pPr>
            <w:r>
              <w:rPr>
                <w:rFonts w:eastAsia="Arial" w:cs="Arial" w:ascii="Arial" w:hAnsi="Arial"/>
                <w:sz w:val="20"/>
              </w:rPr>
              <w:t xml:space="preserve"> </w:t>
            </w:r>
            <w:r>
              <w:rPr>
                <w:rFonts w:cs="Arial" w:ascii="Arial" w:hAnsi="Arial"/>
                <w:sz w:val="20"/>
              </w:rPr>
              <w:t xml:space="preserve">$14,587,500 </w:t>
            </w:r>
          </w:p>
        </w:tc>
        <w:tc>
          <w:tcPr>
            <w:tcW w:w="1705" w:type="dxa"/>
            <w:tcBorders/>
          </w:tcPr>
          <w:p>
            <w:pPr>
              <w:pStyle w:val="Normal"/>
              <w:ind w:end="126"/>
              <w:jc w:val="end"/>
              <w:rPr>
                <w:rFonts w:ascii="Arial" w:hAnsi="Arial" w:cs="Arial"/>
                <w:sz w:val="20"/>
              </w:rPr>
            </w:pPr>
            <w:r>
              <w:rPr>
                <w:rFonts w:eastAsia="Arial" w:cs="Arial" w:ascii="Arial" w:hAnsi="Arial"/>
                <w:sz w:val="20"/>
              </w:rPr>
              <w:t xml:space="preserve"> </w:t>
            </w:r>
            <w:r>
              <w:rPr>
                <w:rFonts w:cs="Arial" w:ascii="Arial" w:hAnsi="Arial"/>
                <w:sz w:val="20"/>
              </w:rPr>
              <w:t xml:space="preserve">$29,175,000 </w:t>
            </w:r>
          </w:p>
        </w:tc>
      </w:tr>
      <w:tr>
        <w:trPr>
          <w:trHeight w:val="255" w:hRule="atLeast"/>
        </w:trPr>
        <w:tc>
          <w:tcPr>
            <w:tcW w:w="1704" w:type="dxa"/>
            <w:tcBorders/>
            <w:vAlign w:val="bottom"/>
          </w:tcPr>
          <w:p>
            <w:pPr>
              <w:pStyle w:val="Normal"/>
              <w:ind w:end="-54"/>
              <w:rPr>
                <w:rFonts w:ascii="Arial" w:hAnsi="Arial" w:cs="Arial"/>
                <w:iCs/>
                <w:sz w:val="20"/>
              </w:rPr>
            </w:pPr>
            <w:r>
              <w:rPr>
                <w:rFonts w:cs="Arial" w:ascii="Arial" w:hAnsi="Arial"/>
                <w:iCs/>
                <w:sz w:val="20"/>
              </w:rPr>
              <w:t>EBITDA</w:t>
            </w:r>
          </w:p>
        </w:tc>
        <w:tc>
          <w:tcPr>
            <w:tcW w:w="1704" w:type="dxa"/>
            <w:tcBorders/>
          </w:tcPr>
          <w:p>
            <w:pPr>
              <w:pStyle w:val="Normal"/>
              <w:ind w:end="172"/>
              <w:jc w:val="end"/>
              <w:rPr/>
            </w:pPr>
            <w:r>
              <w:rPr>
                <w:rFonts w:eastAsia="Arial" w:cs="Arial" w:ascii="Arial" w:hAnsi="Arial"/>
                <w:color w:val="FF0000"/>
                <w:sz w:val="20"/>
              </w:rPr>
              <w:t xml:space="preserve"> </w:t>
            </w:r>
            <w:r>
              <w:rPr>
                <w:rFonts w:eastAsia="Arial" w:cs="Arial" w:ascii="Arial" w:hAnsi="Arial"/>
                <w:color w:val="FF0000"/>
              </w:rPr>
              <w:t xml:space="preserve"> </w:t>
            </w:r>
            <w:r>
              <w:rPr>
                <w:rFonts w:cs="Arial" w:ascii="Arial" w:hAnsi="Arial"/>
                <w:color w:val="FF0000"/>
                <w:sz w:val="20"/>
              </w:rPr>
              <w:t>$(716,362)</w:t>
            </w:r>
          </w:p>
        </w:tc>
        <w:tc>
          <w:tcPr>
            <w:tcW w:w="1704" w:type="dxa"/>
            <w:tcBorders/>
          </w:tcPr>
          <w:p>
            <w:pPr>
              <w:pStyle w:val="Normal"/>
              <w:ind w:end="94"/>
              <w:jc w:val="end"/>
              <w:rPr>
                <w:rFonts w:ascii="Arial" w:hAnsi="Arial" w:cs="Arial"/>
                <w:color w:val="0000FF"/>
                <w:sz w:val="20"/>
              </w:rPr>
            </w:pPr>
            <w:r>
              <w:rPr>
                <w:rFonts w:eastAsia="Arial" w:cs="Arial" w:ascii="Arial" w:hAnsi="Arial"/>
                <w:color w:val="0000FF"/>
                <w:sz w:val="20"/>
              </w:rPr>
              <w:t xml:space="preserve"> </w:t>
            </w:r>
            <w:r>
              <w:rPr>
                <w:rFonts w:cs="Arial" w:ascii="Arial" w:hAnsi="Arial"/>
                <w:color w:val="0000FF"/>
                <w:sz w:val="20"/>
              </w:rPr>
              <w:t xml:space="preserve">$271,250 </w:t>
            </w:r>
          </w:p>
        </w:tc>
        <w:tc>
          <w:tcPr>
            <w:tcW w:w="1704" w:type="dxa"/>
            <w:tcBorders/>
          </w:tcPr>
          <w:p>
            <w:pPr>
              <w:pStyle w:val="Normal"/>
              <w:ind w:end="104"/>
              <w:jc w:val="end"/>
              <w:rPr>
                <w:rFonts w:ascii="Arial" w:hAnsi="Arial" w:cs="Arial"/>
                <w:color w:val="0000FF"/>
                <w:sz w:val="20"/>
              </w:rPr>
            </w:pPr>
            <w:r>
              <w:rPr>
                <w:rFonts w:eastAsia="Arial" w:cs="Arial" w:ascii="Arial" w:hAnsi="Arial"/>
                <w:color w:val="0000FF"/>
                <w:sz w:val="20"/>
              </w:rPr>
              <w:t xml:space="preserve"> </w:t>
            </w:r>
            <w:r>
              <w:rPr>
                <w:rFonts w:cs="Arial" w:ascii="Arial" w:hAnsi="Arial"/>
                <w:color w:val="0000FF"/>
                <w:sz w:val="20"/>
              </w:rPr>
              <w:t xml:space="preserve">$1,085,000 </w:t>
            </w:r>
          </w:p>
        </w:tc>
        <w:tc>
          <w:tcPr>
            <w:tcW w:w="1703" w:type="dxa"/>
            <w:tcBorders/>
          </w:tcPr>
          <w:p>
            <w:pPr>
              <w:pStyle w:val="Normal"/>
              <w:ind w:end="114"/>
              <w:jc w:val="end"/>
              <w:rPr>
                <w:rFonts w:ascii="Arial" w:hAnsi="Arial" w:cs="Arial"/>
                <w:color w:val="0000FF"/>
                <w:sz w:val="20"/>
              </w:rPr>
            </w:pPr>
            <w:r>
              <w:rPr>
                <w:rFonts w:eastAsia="Arial" w:cs="Arial" w:ascii="Arial" w:hAnsi="Arial"/>
                <w:color w:val="0000FF"/>
                <w:sz w:val="20"/>
              </w:rPr>
              <w:t xml:space="preserve"> </w:t>
            </w:r>
            <w:r>
              <w:rPr>
                <w:rFonts w:cs="Arial" w:ascii="Arial" w:hAnsi="Arial"/>
                <w:color w:val="0000FF"/>
                <w:sz w:val="20"/>
              </w:rPr>
              <w:t xml:space="preserve">$4,340,000 </w:t>
            </w:r>
          </w:p>
        </w:tc>
        <w:tc>
          <w:tcPr>
            <w:tcW w:w="1705" w:type="dxa"/>
            <w:tcBorders/>
          </w:tcPr>
          <w:p>
            <w:pPr>
              <w:pStyle w:val="Normal"/>
              <w:ind w:end="126"/>
              <w:jc w:val="end"/>
              <w:rPr>
                <w:rFonts w:ascii="Arial" w:hAnsi="Arial" w:cs="Arial"/>
                <w:color w:val="0000FF"/>
                <w:sz w:val="20"/>
              </w:rPr>
            </w:pPr>
            <w:r>
              <w:rPr>
                <w:rFonts w:eastAsia="Arial" w:cs="Arial" w:ascii="Arial" w:hAnsi="Arial"/>
                <w:color w:val="0000FF"/>
                <w:sz w:val="20"/>
              </w:rPr>
              <w:t xml:space="preserve"> </w:t>
            </w:r>
            <w:r>
              <w:rPr>
                <w:rFonts w:cs="Arial" w:ascii="Arial" w:hAnsi="Arial"/>
                <w:color w:val="0000FF"/>
                <w:sz w:val="20"/>
              </w:rPr>
              <w:t xml:space="preserve">$17,360,000 </w:t>
            </w:r>
          </w:p>
        </w:tc>
      </w:tr>
    </w:tbl>
    <w:p>
      <w:pPr>
        <w:pStyle w:val="HAN2ndBullet"/>
        <w:numPr>
          <w:ilvl w:val="0"/>
          <w:numId w:val="0"/>
        </w:numPr>
        <w:ind w:hanging="0" w:start="0"/>
        <w:rPr/>
      </w:pPr>
      <w:r>
        <w:rPr/>
      </w:r>
    </w:p>
    <w:p>
      <w:pPr>
        <w:pStyle w:val="HANSectionTitle"/>
        <w:rPr/>
      </w:pPr>
      <w:r>
        <w:rPr/>
        <w:t>Capital</w:t>
      </w:r>
    </w:p>
    <w:p>
      <w:pPr>
        <w:pStyle w:val="HAN1stBullet"/>
        <w:numPr>
          <w:ilvl w:val="0"/>
          <w:numId w:val="3"/>
        </w:numPr>
        <w:rPr>
          <w:bCs/>
        </w:rPr>
      </w:pPr>
      <w:r>
        <w:rPr/>
        <w:t xml:space="preserve">Company.com is seeking approximately $500,000 in angel/seed investment at this time.  The company plans to raise $2-3 million in a Series A financing in Q1. 2001.  </w:t>
      </w:r>
    </w:p>
    <w:p>
      <w:pPr>
        <w:pStyle w:val="HAN1stBullet"/>
        <w:numPr>
          <w:ilvl w:val="0"/>
          <w:numId w:val="3"/>
        </w:numPr>
        <w:rPr>
          <w:bCs/>
        </w:rPr>
      </w:pPr>
      <w:r>
        <w:rPr/>
        <w:t>Funds will be used to support ongoing operating expenses, web site development, and membership acquisition. Break-even profitability is projected Q1 2000.</w:t>
      </w:r>
    </w:p>
    <w:p>
      <w:pPr>
        <w:pStyle w:val="Normal"/>
        <w:jc w:val="both"/>
        <w:rPr>
          <w:rFonts w:ascii="Arial" w:hAnsi="Arial" w:cs="Arial"/>
          <w:b/>
          <w:bCs/>
        </w:rPr>
      </w:pPr>
      <w:r>
        <w:rPr>
          <w:rFonts w:cs="Arial" w:ascii="Arial" w:hAnsi="Arial"/>
          <w:b/>
          <w:bCs/>
        </w:rPr>
      </w:r>
    </w:p>
    <w:p>
      <w:pPr>
        <w:pStyle w:val="HANSectionTitle"/>
        <w:rPr/>
      </w:pPr>
      <w:r>
        <w:rPr/>
        <w:t>Contact Information</w:t>
      </w:r>
    </w:p>
    <w:p>
      <w:pPr>
        <w:pStyle w:val="HANContactInfo"/>
        <w:numPr>
          <w:ilvl w:val="0"/>
          <w:numId w:val="5"/>
        </w:numPr>
        <w:ind w:hanging="0" w:start="0"/>
        <w:rPr/>
      </w:pPr>
      <w:r>
        <w:rPr/>
        <w:t>John Doe</w:t>
      </w:r>
    </w:p>
    <w:p>
      <w:pPr>
        <w:pStyle w:val="HANContactInfo"/>
        <w:numPr>
          <w:ilvl w:val="0"/>
          <w:numId w:val="0"/>
        </w:numPr>
        <w:ind w:hanging="0" w:start="720" w:end="0"/>
        <w:rPr>
          <w:b w:val="false"/>
          <w:bCs w:val="false"/>
        </w:rPr>
      </w:pPr>
      <w:r>
        <w:rPr>
          <w:b w:val="false"/>
          <w:bCs w:val="false"/>
        </w:rPr>
        <w:t xml:space="preserve">Chairman, CEO </w:t>
      </w:r>
    </w:p>
    <w:p>
      <w:pPr>
        <w:pStyle w:val="HANContactInfo"/>
        <w:numPr>
          <w:ilvl w:val="0"/>
          <w:numId w:val="0"/>
        </w:numPr>
        <w:ind w:hanging="0" w:start="720" w:end="0"/>
        <w:rPr>
          <w:b w:val="false"/>
          <w:bCs w:val="false"/>
        </w:rPr>
      </w:pPr>
      <w:r>
        <w:rPr>
          <w:b w:val="false"/>
          <w:bCs w:val="false"/>
        </w:rPr>
        <w:t>Company.com, Inc.</w:t>
      </w:r>
    </w:p>
    <w:p>
      <w:pPr>
        <w:pStyle w:val="HANContactInfo"/>
        <w:numPr>
          <w:ilvl w:val="0"/>
          <w:numId w:val="0"/>
        </w:numPr>
        <w:ind w:hanging="0" w:start="720" w:end="0"/>
        <w:rPr>
          <w:b w:val="false"/>
          <w:bCs w:val="false"/>
        </w:rPr>
      </w:pPr>
      <w:r>
        <w:rPr>
          <w:b w:val="false"/>
          <w:bCs w:val="false"/>
        </w:rPr>
        <w:t>713.658-1750</w:t>
      </w:r>
    </w:p>
    <w:p>
      <w:pPr>
        <w:pStyle w:val="HANContactInfo"/>
        <w:numPr>
          <w:ilvl w:val="0"/>
          <w:numId w:val="0"/>
        </w:numPr>
        <w:ind w:hanging="0" w:start="720" w:end="0"/>
        <w:rPr>
          <w:b w:val="false"/>
          <w:bCs w:val="false"/>
        </w:rPr>
      </w:pPr>
      <w:hyperlink r:id="rId2">
        <w:r>
          <w:rPr>
            <w:rStyle w:val="Hyperlink"/>
          </w:rPr>
          <w:t>jdoe@houstontech.org</w:t>
        </w:r>
      </w:hyperlink>
    </w:p>
    <w:p>
      <w:pPr>
        <w:pStyle w:val="HANContactInfo"/>
        <w:numPr>
          <w:ilvl w:val="0"/>
          <w:numId w:val="0"/>
        </w:numPr>
        <w:ind w:hanging="0" w:start="720" w:end="0"/>
        <w:rPr>
          <w:b w:val="false"/>
          <w:bCs w:val="false"/>
        </w:rPr>
      </w:pPr>
      <w:r>
        <w:rPr>
          <w:b w:val="false"/>
          <w:bCs w:val="false"/>
        </w:rPr>
      </w:r>
    </w:p>
    <w:p>
      <w:pPr>
        <w:pStyle w:val="Normal"/>
        <w:ind w:start="360" w:end="0"/>
        <w:jc w:val="both"/>
        <w:rPr>
          <w:rFonts w:ascii="Arial" w:hAnsi="Arial" w:cs="Arial"/>
          <w:b/>
          <w:bCs/>
          <w:sz w:val="20"/>
        </w:rPr>
      </w:pPr>
      <w:r>
        <w:rPr>
          <w:rFonts w:cs="Arial" w:ascii="Arial" w:hAnsi="Arial"/>
          <w:b/>
          <w:bCs/>
          <w:sz w:val="20"/>
        </w:rPr>
      </w:r>
    </w:p>
    <w:p>
      <w:pPr>
        <w:pStyle w:val="Normal"/>
        <w:jc w:val="both"/>
        <w:rPr>
          <w:rFonts w:ascii="Arial" w:hAnsi="Arial" w:cs="Arial"/>
          <w:sz w:val="20"/>
        </w:rPr>
      </w:pPr>
      <w:r>
        <w:rPr>
          <w:rFonts w:cs="Arial" w:ascii="Arial" w:hAnsi="Arial"/>
          <w:sz w:val="20"/>
        </w:rPr>
      </w:r>
    </w:p>
    <w:p>
      <w:pPr>
        <w:pStyle w:val="BodyText"/>
        <w:ind w:firstLine="720" w:end="0"/>
        <w:rPr>
          <w:rFonts w:ascii="Arial" w:hAnsi="Arial" w:cs="Arial"/>
          <w:color w:val="000000"/>
        </w:rPr>
      </w:pPr>
      <w:r>
        <w:rPr>
          <w:rFonts w:cs="Arial" w:ascii="Arial" w:hAnsi="Arial"/>
          <w:color w:val="000000"/>
        </w:rPr>
        <w:t> </w:t>
      </w:r>
    </w:p>
    <w:p>
      <w:pPr>
        <w:pStyle w:val="Normal"/>
        <w:pBdr>
          <w:top w:val="single" w:sz="4" w:space="1" w:color="000000"/>
        </w:pBdr>
        <w:jc w:val="both"/>
        <w:rPr>
          <w:rFonts w:ascii="Arial" w:hAnsi="Arial" w:cs="Arial"/>
          <w:b/>
          <w:bCs/>
          <w:color w:val="000000"/>
          <w:sz w:val="22"/>
          <w:szCs w:val="20"/>
        </w:rPr>
      </w:pPr>
      <w:r>
        <w:rPr>
          <w:rFonts w:cs="Arial" w:ascii="Arial" w:hAnsi="Arial"/>
          <w:b/>
          <w:bCs/>
          <w:color w:val="000000"/>
          <w:sz w:val="22"/>
        </w:rPr>
        <w:t>Please note:</w:t>
      </w:r>
    </w:p>
    <w:p>
      <w:pPr>
        <w:pStyle w:val="Normal"/>
        <w:jc w:val="both"/>
        <w:rPr>
          <w:rFonts w:ascii="Arial" w:hAnsi="Arial" w:cs="Arial"/>
          <w:i/>
          <w:i/>
          <w:iCs/>
          <w:color w:val="000000"/>
          <w:sz w:val="22"/>
        </w:rPr>
      </w:pPr>
      <w:r>
        <w:rPr>
          <w:rFonts w:cs="Arial" w:ascii="Arial" w:hAnsi="Arial"/>
          <w:i/>
          <w:iCs/>
          <w:color w:val="000000"/>
          <w:sz w:val="22"/>
        </w:rPr>
        <w:t>Investments resulting from introductions by HTC may involve a high degree of risk.  HTC has neither evaluated nor endorsed the merits of any investment opportunity presented through its services and makes no recommendations regarding the appropriateness of particular investment opportunities for particular investors.  Each potential investor must rely on his or her own judgment regarding the merits of a particular investment opportunity.</w:t>
      </w:r>
    </w:p>
    <w:sectPr>
      <w:footnotePr>
        <w:numFmt w:val="decimal"/>
      </w:footnotePr>
      <w:type w:val="nextPage"/>
      <w:pgSz w:w="12240" w:h="15840"/>
      <w:pgMar w:left="864" w:right="1152" w:gutter="0" w:header="0" w:top="1008" w:footer="0" w:bottom="864"/>
      <w:pgNumType w:fmt="decimal"/>
      <w:formProt w:val="false"/>
      <w:textDirection w:val="lrTb"/>
      <w:docGrid w:type="default" w:linePitch="245"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HANFootnote"/>
        <w:rPr/>
      </w:pPr>
      <w:r>
        <w:rPr>
          <w:rStyle w:val="FootnoteCharacters"/>
        </w:rPr>
        <w:footnoteRef/>
      </w: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sz w:val="20"/>
        <w:color w:val="000000"/>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1125"/>
        </w:tabs>
        <w:ind w:start="1125" w:hanging="360"/>
      </w:pPr>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i/>
      <w:iCs/>
    </w:rPr>
  </w:style>
  <w:style w:type="paragraph" w:styleId="Heading3">
    <w:name w:val="heading 3"/>
    <w:basedOn w:val="Normal"/>
    <w:next w:val="Normal"/>
    <w:qFormat/>
    <w:pPr>
      <w:keepNext w:val="true"/>
      <w:numPr>
        <w:ilvl w:val="2"/>
        <w:numId w:val="1"/>
      </w:numPr>
      <w:outlineLvl w:val="2"/>
    </w:pPr>
    <w:rPr>
      <w:b/>
      <w:bCs/>
      <w:u w:val="single"/>
    </w:rPr>
  </w:style>
  <w:style w:type="paragraph" w:styleId="Heading4">
    <w:name w:val="heading 4"/>
    <w:basedOn w:val="Normal"/>
    <w:next w:val="Normal"/>
    <w:qFormat/>
    <w:pPr>
      <w:keepNext w:val="true"/>
      <w:numPr>
        <w:ilvl w:val="3"/>
        <w:numId w:val="1"/>
      </w:numPr>
      <w:outlineLvl w:val="3"/>
    </w:pPr>
    <w:rPr>
      <w:b/>
      <w:bCs/>
      <w:i/>
      <w:iCs/>
      <w:sz w:val="22"/>
    </w:rPr>
  </w:style>
  <w:style w:type="paragraph" w:styleId="Heading5">
    <w:name w:val="heading 5"/>
    <w:basedOn w:val="Normal"/>
    <w:next w:val="Normal"/>
    <w:qFormat/>
    <w:pPr>
      <w:keepNext w:val="true"/>
      <w:numPr>
        <w:ilvl w:val="4"/>
        <w:numId w:val="1"/>
      </w:numPr>
      <w:jc w:val="both"/>
      <w:outlineLvl w:val="4"/>
    </w:pPr>
    <w:rPr>
      <w:b/>
      <w:bCs/>
      <w:i/>
      <w:iCs/>
    </w:rPr>
  </w:style>
  <w:style w:type="paragraph" w:styleId="Heading6">
    <w:name w:val="heading 6"/>
    <w:basedOn w:val="Normal"/>
    <w:next w:val="Normal"/>
    <w:qFormat/>
    <w:pPr>
      <w:keepNext w:val="true"/>
      <w:numPr>
        <w:ilvl w:val="5"/>
        <w:numId w:val="1"/>
      </w:numPr>
      <w:jc w:val="both"/>
      <w:outlineLvl w:val="5"/>
    </w:pPr>
    <w:rPr>
      <w:b/>
      <w:bCs/>
      <w:sz w:val="28"/>
    </w:rPr>
  </w:style>
  <w:style w:type="paragraph" w:styleId="Heading7">
    <w:name w:val="heading 7"/>
    <w:basedOn w:val="Normal"/>
    <w:next w:val="Normal"/>
    <w:qFormat/>
    <w:pPr>
      <w:keepNext w:val="true"/>
      <w:numPr>
        <w:ilvl w:val="6"/>
        <w:numId w:val="1"/>
      </w:numPr>
      <w:jc w:val="both"/>
      <w:outlineLvl w:val="6"/>
    </w:pPr>
    <w:rPr>
      <w:b/>
      <w:bCs/>
      <w:iCs/>
      <w:sz w:val="28"/>
      <w:u w:val="single"/>
    </w:rPr>
  </w:style>
  <w:style w:type="paragraph" w:styleId="Heading8">
    <w:name w:val="heading 8"/>
    <w:basedOn w:val="Normal"/>
    <w:next w:val="Normal"/>
    <w:qFormat/>
    <w:pPr>
      <w:keepNext w:val="true"/>
      <w:numPr>
        <w:ilvl w:val="7"/>
        <w:numId w:val="1"/>
      </w:numPr>
      <w:jc w:val="both"/>
      <w:outlineLvl w:val="7"/>
    </w:pPr>
    <w:rPr>
      <w:b/>
      <w:bCs/>
      <w:i/>
      <w:sz w:val="22"/>
    </w:rPr>
  </w:style>
  <w:style w:type="paragraph" w:styleId="Heading9">
    <w:name w:val="heading 9"/>
    <w:basedOn w:val="Normal"/>
    <w:next w:val="Normal"/>
    <w:qFormat/>
    <w:pPr>
      <w:keepNext w:val="true"/>
      <w:numPr>
        <w:ilvl w:val="8"/>
        <w:numId w:val="1"/>
      </w:numPr>
      <w:outlineLvl w:val="8"/>
    </w:pPr>
    <w:rPr>
      <w:rFonts w:ascii="Arial" w:hAnsi="Arial" w:cs="Arial"/>
      <w:b/>
      <w:bCs/>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color w:val="000000"/>
      <w:sz w:val="20"/>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color w:val="000000"/>
      <w:sz w:val="2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color w:val="000000"/>
      <w:sz w:val="20"/>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3z4">
    <w:name w:val="WW8Num13z4"/>
    <w:qFormat/>
    <w:rPr>
      <w:rFonts w:ascii="Courier New" w:hAnsi="Courier New" w:cs="Courier New"/>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color w:val="000000"/>
      <w:sz w:val="2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color w:val="000000"/>
      <w:sz w:val="20"/>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color w:val="000000"/>
      <w:sz w:val="20"/>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color w:val="000000"/>
      <w:sz w:val="20"/>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rPr>
  </w:style>
  <w:style w:type="character" w:styleId="WW8Num38z1">
    <w:name w:val="WW8Num38z1"/>
    <w:qFormat/>
    <w:rPr>
      <w:rFonts w:ascii="Symbol" w:hAnsi="Symbol" w:cs="Symbol"/>
      <w:color w:val="000000"/>
      <w:sz w:val="20"/>
    </w:rPr>
  </w:style>
  <w:style w:type="character" w:styleId="WW8Num38z2">
    <w:name w:val="WW8Num38z2"/>
    <w:qFormat/>
    <w:rPr>
      <w:rFonts w:ascii="Wingdings" w:hAnsi="Wingdings" w:cs="Wingdings"/>
    </w:rPr>
  </w:style>
  <w:style w:type="character" w:styleId="WW8Num38z4">
    <w:name w:val="WW8Num38z4"/>
    <w:qFormat/>
    <w:rPr>
      <w:rFonts w:ascii="Courier New" w:hAnsi="Courier New" w:cs="Courier New"/>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color w:val="000000"/>
      <w:sz w:val="20"/>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3z0">
    <w:name w:val="WW8Num43z0"/>
    <w:qFormat/>
    <w:rPr>
      <w:rFonts w:ascii="Symbol" w:hAnsi="Symbol" w:cs="Symbol"/>
      <w:color w:val="000000"/>
      <w:sz w:val="20"/>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mailstyle28">
    <w:name w:val="emailstyle28"/>
    <w:basedOn w:val="DefaultParagraphFont"/>
    <w:qFormat/>
    <w:rPr>
      <w:rFonts w:ascii="Arial" w:hAnsi="Arial" w:cs="Arial"/>
      <w:color w:val="000000"/>
      <w:sz w:val="22"/>
    </w:rPr>
  </w:style>
  <w:style w:type="character" w:styleId="emailstyle29">
    <w:name w:val="emailstyle29"/>
    <w:basedOn w:val="DefaultParagraphFont"/>
    <w:qFormat/>
    <w:rPr>
      <w:rFonts w:ascii="Arial" w:hAnsi="Arial" w:cs="Arial"/>
      <w:color w:val="000000"/>
      <w:sz w:val="22"/>
    </w:rPr>
  </w:style>
  <w:style w:type="character" w:styleId="emailstyle15">
    <w:name w:val="emailstyle15"/>
    <w:basedOn w:val="DefaultParagraphFont"/>
    <w:qFormat/>
    <w:rPr>
      <w:rFonts w:ascii="Arial" w:hAnsi="Arial" w:cs="Arial"/>
      <w:color w:val="000000"/>
      <w:sz w:val="22"/>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ANTitle">
    <w:name w:val="HAN Title"/>
    <w:basedOn w:val="Normal"/>
    <w:qFormat/>
    <w:pPr>
      <w:pBdr>
        <w:bottom w:val="single" w:sz="12" w:space="1" w:color="000000"/>
      </w:pBdr>
      <w:jc w:val="both"/>
    </w:pPr>
    <w:rPr>
      <w:rFonts w:ascii="Arial" w:hAnsi="Arial" w:cs="Arial"/>
      <w:b/>
      <w:sz w:val="28"/>
    </w:rPr>
  </w:style>
  <w:style w:type="paragraph" w:styleId="HANOverview">
    <w:name w:val="HAN Overview"/>
    <w:basedOn w:val="Normal"/>
    <w:qFormat/>
    <w:pPr>
      <w:jc w:val="both"/>
    </w:pPr>
    <w:rPr>
      <w:rFonts w:ascii="Arial" w:hAnsi="Arial" w:cs="Arial"/>
      <w:sz w:val="20"/>
    </w:rPr>
  </w:style>
  <w:style w:type="paragraph" w:styleId="HANSectionTitle">
    <w:name w:val="HAN Section Title"/>
    <w:basedOn w:val="Heading9"/>
    <w:qFormat/>
    <w:pPr>
      <w:numPr>
        <w:ilvl w:val="0"/>
        <w:numId w:val="0"/>
      </w:numPr>
      <w:outlineLvl w:val="9"/>
    </w:pPr>
    <w:rPr/>
  </w:style>
  <w:style w:type="paragraph" w:styleId="HAN1stBullet">
    <w:name w:val="HAN 1st Bullet"/>
    <w:basedOn w:val="Normal"/>
    <w:qFormat/>
    <w:pPr>
      <w:numPr>
        <w:ilvl w:val="0"/>
        <w:numId w:val="2"/>
      </w:numPr>
      <w:jc w:val="both"/>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HAN2ndBullet">
    <w:name w:val="HAN 2nd Bullet"/>
    <w:basedOn w:val="Normal"/>
    <w:qFormat/>
    <w:pPr>
      <w:numPr>
        <w:ilvl w:val="0"/>
        <w:numId w:val="4"/>
      </w:numPr>
      <w:jc w:val="both"/>
    </w:pPr>
    <w:rPr>
      <w:rFonts w:ascii="Arial" w:hAnsi="Arial" w:cs="Arial"/>
      <w:sz w:val="20"/>
    </w:rPr>
  </w:style>
  <w:style w:type="paragraph" w:styleId="HANContactInfo">
    <w:name w:val="HAN Contact Info"/>
    <w:basedOn w:val="Normal"/>
    <w:qFormat/>
    <w:pPr>
      <w:numPr>
        <w:ilvl w:val="0"/>
        <w:numId w:val="5"/>
      </w:numPr>
      <w:jc w:val="both"/>
    </w:pPr>
    <w:rPr>
      <w:rFonts w:ascii="Arial" w:hAnsi="Arial" w:cs="Arial"/>
      <w:b/>
      <w:bCs/>
      <w:sz w:val="20"/>
    </w:rPr>
  </w:style>
  <w:style w:type="paragraph" w:styleId="Footer">
    <w:name w:val="footer"/>
    <w:basedOn w:val="Normal"/>
    <w:pPr>
      <w:tabs>
        <w:tab w:val="clear" w:pos="720"/>
        <w:tab w:val="center" w:pos="4320" w:leader="none"/>
        <w:tab w:val="right" w:pos="8640" w:leader="none"/>
      </w:tabs>
    </w:pPr>
    <w:rPr/>
  </w:style>
  <w:style w:type="paragraph" w:styleId="HANFootnote">
    <w:name w:val="HAN Footnote"/>
    <w:basedOn w:val="Normal"/>
    <w:qFormat/>
    <w:pPr/>
    <w:rPr>
      <w:rFonts w:ascii="Arial" w:hAnsi="Arial" w:cs="Arial"/>
      <w:sz w:val="20"/>
    </w:rPr>
  </w:style>
  <w:style w:type="paragraph" w:styleId="BlockText">
    <w:name w:val="Block Text"/>
    <w:basedOn w:val="Normal"/>
    <w:qFormat/>
    <w:pPr>
      <w:ind w:hanging="0" w:start="360" w:end="216"/>
      <w:jc w:val="both"/>
    </w:pPr>
    <w:rPr>
      <w:color w:val="000000"/>
      <w:sz w:val="20"/>
      <w:szCs w:val="20"/>
    </w:rPr>
  </w:style>
  <w:style w:type="paragraph" w:styleId="BodyText3">
    <w:name w:val="Body Text 3"/>
    <w:basedOn w:val="Normal"/>
    <w:qFormat/>
    <w:pPr/>
    <w:rPr>
      <w:color w:val="000000"/>
      <w:sz w:val="20"/>
      <w:szCs w:val="20"/>
    </w:rPr>
  </w:style>
  <w:style w:type="paragraph" w:styleId="HANSubtitle">
    <w:name w:val="HAN Subtitle"/>
    <w:basedOn w:val="HAN1stBullet"/>
    <w:qFormat/>
    <w:pPr>
      <w:numPr>
        <w:ilvl w:val="0"/>
        <w:numId w:val="0"/>
      </w:numPr>
      <w:ind w:hanging="0" w:start="360" w:end="0"/>
    </w:pPr>
    <w:rPr>
      <w:b/>
      <w:bCs/>
      <w:i/>
      <w:iCs/>
    </w:rPr>
  </w:style>
  <w:style w:type="paragraph" w:styleId="E-mailSignature">
    <w:name w:val="E-mail Signature"/>
    <w:basedOn w:val="Normal"/>
    <w:qFormat/>
    <w:pPr/>
    <w:rPr/>
  </w:style>
  <w:style w:type="paragraph" w:styleId="FootnoteText">
    <w:name w:val="footnote text"/>
    <w:basedOn w:val="Normal"/>
    <w:pPr>
      <w:suppressLineNumbers/>
      <w:ind w:hanging="340" w:start="34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doe@houstontech.org"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HAN Template.dot</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2000-11-08T13:17:00Z</dcterms:created>
  <dc:creator>Michelle Weisblatt</dc:creator>
  <dc:description/>
  <dc:language>en-CA</dc:language>
  <cp:lastModifiedBy>Compaq Customer</cp:lastModifiedBy>
  <cp:lastPrinted>2000-09-06T14:24:00Z</cp:lastPrinted>
  <dcterms:modified xsi:type="dcterms:W3CDTF">2001-05-24T16:21:00Z</dcterms:modified>
  <cp:revision>10</cp:revision>
  <dc:subject/>
  <dc:title>FreeAdService</dc:title>
</cp:coreProperties>
</file>