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DOCKET NO. ______________</w:t>
      </w:r>
    </w:p>
    <w:p>
      <w:pPr>
        <w:pStyle w:val="Normal"/>
        <w:jc w:val="center"/>
        <w:rPr/>
      </w:pPr>
      <w:r>
        <w:rPr/>
      </w:r>
    </w:p>
    <w:p>
      <w:pPr>
        <w:pStyle w:val="Normal"/>
        <w:jc w:val="center"/>
        <w:rPr/>
      </w:pPr>
      <w:r>
        <w:rPr/>
      </w:r>
    </w:p>
    <w:p>
      <w:pPr>
        <w:pStyle w:val="Normal"/>
        <w:jc w:val="both"/>
        <w:rPr/>
      </w:pPr>
      <w:r>
        <w:rPr/>
        <w:t>BEFORE THE NORTH CAROLINA UTILITIES COMMISSION</w:t>
      </w:r>
    </w:p>
    <w:p>
      <w:pPr>
        <w:pStyle w:val="Normal"/>
        <w:jc w:val="both"/>
        <w:rPr/>
      </w:pPr>
      <w:r>
        <w:rPr/>
      </w:r>
    </w:p>
    <w:p>
      <w:pPr>
        <w:pStyle w:val="Normal"/>
        <w:jc w:val="both"/>
        <w:rPr/>
      </w:pPr>
      <w:r>
        <w:rPr/>
        <w:tab/>
        <w:t>In the Matter of</w:t>
        <w:tab/>
        <w:tab/>
        <w:tab/>
        <w:t>)</w:t>
      </w:r>
    </w:p>
    <w:p>
      <w:pPr>
        <w:pStyle w:val="Normal"/>
        <w:jc w:val="both"/>
        <w:rPr/>
      </w:pPr>
      <w:r>
        <w:rPr/>
        <w:t>Application of Enron North America</w:t>
        <w:tab/>
        <w:t>)</w:t>
        <w:tab/>
        <w:tab/>
        <w:t>APPLICATION FOR</w:t>
      </w:r>
    </w:p>
    <w:p>
      <w:pPr>
        <w:pStyle w:val="Normal"/>
        <w:jc w:val="both"/>
        <w:rPr/>
      </w:pPr>
      <w:r>
        <w:rPr/>
        <w:t>Corp. for a Certificate of Public</w:t>
        <w:tab/>
        <w:tab/>
        <w:t>)</w:t>
        <w:tab/>
        <w:t xml:space="preserve">      CERTIFICATE OF PUBLIC</w:t>
      </w:r>
    </w:p>
    <w:p>
      <w:pPr>
        <w:pStyle w:val="Normal"/>
        <w:jc w:val="both"/>
        <w:rPr/>
      </w:pPr>
      <w:r>
        <w:rPr/>
        <w:t xml:space="preserve">Convenience and Necessity to </w:t>
        <w:tab/>
        <w:tab/>
        <w:t>)</w:t>
        <w:tab/>
        <w:tab/>
        <w:t>CONVENIENCE AND</w:t>
      </w:r>
    </w:p>
    <w:p>
      <w:pPr>
        <w:pStyle w:val="Normal"/>
        <w:jc w:val="both"/>
        <w:rPr/>
      </w:pPr>
      <w:r>
        <w:rPr/>
        <w:t>Construct a Combustion Turbine</w:t>
        <w:tab/>
        <w:tab/>
        <w:t>)</w:t>
        <w:tab/>
        <w:tab/>
        <w:t xml:space="preserve">       NECESSITY</w:t>
      </w:r>
    </w:p>
    <w:p>
      <w:pPr>
        <w:pStyle w:val="Normal"/>
        <w:jc w:val="both"/>
        <w:rPr/>
      </w:pPr>
      <w:r>
        <w:rPr/>
        <w:t>Generator in Edgecombe County,</w:t>
        <w:tab/>
        <w:tab/>
        <w:t>)</w:t>
      </w:r>
    </w:p>
    <w:p>
      <w:pPr>
        <w:pStyle w:val="Normal"/>
        <w:jc w:val="both"/>
        <w:rPr/>
      </w:pPr>
      <w:r>
        <w:rPr/>
        <w:t>North Carolina</w:t>
        <w:tab/>
        <w:tab/>
        <w:tab/>
        <w:tab/>
        <w:t>)</w:t>
      </w:r>
    </w:p>
    <w:p>
      <w:pPr>
        <w:pStyle w:val="Normal"/>
        <w:jc w:val="both"/>
        <w:rPr/>
      </w:pPr>
      <w:r>
        <w:rPr/>
      </w:r>
    </w:p>
    <w:p>
      <w:pPr>
        <w:pStyle w:val="Normal"/>
        <w:spacing w:lineRule="auto" w:line="480"/>
        <w:jc w:val="both"/>
        <w:rPr/>
      </w:pPr>
      <w:r>
        <w:rPr/>
        <w:tab/>
        <w:t>Enron North America Corp. (“Applicant”) hereby applies to the North Carolina Utilities Commission (“Commission”) pursuant to North Carolina General Statutes § 62-110.1 and Commission Rule R8-61 for a Certificate of Public Convenience and Necessity authorizing construction and operation of an approximately 188 megawatt (“MW”) simple-cycle, dual-fueled combustion turbine generation facility in Edgecombe County, North Carolina, within North Carolina Power’s service territory.  In support thereof, Applicant shows the following:</w:t>
      </w:r>
    </w:p>
    <w:p>
      <w:pPr>
        <w:pStyle w:val="Normal"/>
        <w:spacing w:lineRule="auto" w:line="480"/>
        <w:rPr/>
      </w:pPr>
      <w:r>
        <w:rPr/>
        <w:tab/>
        <w:t>1.</w:t>
        <w:tab/>
      </w:r>
      <w:r>
        <w:rPr>
          <w:u w:val="single"/>
        </w:rPr>
        <w:t>Enron North America Corp</w:t>
      </w:r>
      <w:r>
        <w:rPr/>
        <w:t>.  Applicant is a subsidiary of Enron Corporation.  Enron Corporation is a $40 billion dollar company based in Houston, Texas that has focused on energy and telecommunication opportunities.  Originally, Enron Corporation grew out of the mergers of three interstate natural gas pipelines.  However, with the transition from full regulation to increasing restructuring, Enron Corporation’s business has expanded to many other areas.  Applicant is one of the business units that developed to capitalize on the changing environment within the energy industry.  Applicant is the domestic branch of Enron Corporation focusing on wholesale markets for the sale of energy-related commodities.  Applicant has specialized in the areas of financial trading, energy management, and energy production.  Applicant’s trading desk engages in active trading in natural gas, power, liquid natural gas, and virtually any other energy product. Furthermore, the trading desk has created markets for a number of other products including paper, emissions, and renewable resources.  To further this branch of business, in December 1999, Applicant launched Enron Online, an online trading platform that provides a real time medium for trading many energy-related commodities.  Since that time Enron Online has handled over $80 billion dollars in online transactions, making it the largest e-commerce site in the world. This product is indicative of the market expertise that Applicant has developed in the newly restructured energy environment.</w:t>
      </w:r>
    </w:p>
    <w:p>
      <w:pPr>
        <w:pStyle w:val="Normal"/>
        <w:spacing w:lineRule="auto" w:line="480"/>
        <w:rPr/>
      </w:pPr>
      <w:r>
        <w:rPr/>
        <w:tab/>
        <w:t>Using this expertise in the energy markets, Applicant is confident that it can work with clients to dramatically lower their energy costs.  Using the framework of trading and the financial leveraging associated with this trading, Applicant is able to develop financial and energy solutions that can both lower costs and improve reliability. Because Applicant’s clients are diverse and well scattered throughout the country, Applicant has liability in many different utility jurisdictions.  This means that Applicant must have broad understanding of how energy markets work, but also specific understanding regarding many different jurisdictions. From that experience, Applicant has learned that many markets that are open to wholesale competition are still illiquid due to various factors.  For this reason, Applicant has been developing various energy production facilities.  Applicant builds primarily peaking power plants to provide physical hedges against outstanding financial liabilities.  Some of the plants are purely merchant facilities that supply power straight into the wholesale market.  For example, Applicant owns and operates four merchant peaking facilities behind the Tennessee Valley Authority approximating 1600 MW of power production capacity.  Another type of facility that Applicant develops is one designed for the use of a specific customer.  For example, Applicant recently  completed the development of the Doyle project in Walton County, Georgia, in coordination with the Walton County EMC.  The EMC uses the 341 MW capacity to serve its peak load.  The new Edgecombe County facility will be similar to the Doyle facility in that the plant will specifically serve the peaking needs of North Carolina Power/Virginia Power.  Both of these types of facilities underline the diversity in the Applicant’s portfolio.</w:t>
      </w:r>
    </w:p>
    <w:p>
      <w:pPr>
        <w:pStyle w:val="Normal"/>
        <w:spacing w:lineRule="auto" w:line="480"/>
        <w:jc w:val="both"/>
        <w:rPr/>
      </w:pPr>
      <w:r>
        <w:rPr/>
        <w:tab/>
        <w:t>2.</w:t>
        <w:tab/>
      </w:r>
      <w:r>
        <w:rPr>
          <w:u w:val="single"/>
        </w:rPr>
        <w:t>Project Introduction</w:t>
      </w:r>
      <w:r>
        <w:rPr/>
        <w:t>.  Applicant proposes to develop, construct and operate a 188 MW simple-cycle, dual-fueled combustion turbine generation facility in Edgecombe County.  Applicant intends to have the facility commercially operable on or before June 1, 2001.  The facility will provide firm capacity and peaking energy to North Carolina Power under the terms of an Integrated Power Sale and Purchase Agreement (“PPA”).  In addition, the facility may supply wholesale capacity to other entities pursuant to Federal Energy Regulatory Commission (“FERC”) approvals and regulations.</w:t>
      </w:r>
    </w:p>
    <w:p>
      <w:pPr>
        <w:pStyle w:val="Normal"/>
        <w:spacing w:lineRule="auto" w:line="480"/>
        <w:jc w:val="both"/>
        <w:rPr/>
      </w:pPr>
      <w:r>
        <w:rPr/>
        <w:tab/>
        <w:t>3.</w:t>
        <w:tab/>
      </w:r>
      <w:r>
        <w:rPr>
          <w:u w:val="single"/>
        </w:rPr>
        <w:t>Facility Systems and Components</w:t>
      </w:r>
      <w:r>
        <w:rPr/>
        <w:t>.  The power plant will consist of four General Electric LM 6000 combustion gas turbine generator sets (47 MW each at ISO, net of auxiliaries); two inlet air chiller packages with accessories; one gas compressor package with accessories; demineralized water and wastewater systems;  instrument and plant air system; a fire protection system; piping system; one electrical distribution system;  instrumentation and control systems and a water injection system for NOx control for each unit.</w:t>
      </w:r>
    </w:p>
    <w:p>
      <w:pPr>
        <w:pStyle w:val="Normal"/>
        <w:spacing w:lineRule="auto" w:line="480"/>
        <w:jc w:val="both"/>
        <w:rPr/>
      </w:pPr>
      <w:r>
        <w:rPr/>
        <w:tab/>
        <w:t>4.</w:t>
        <w:tab/>
      </w:r>
      <w:r>
        <w:rPr>
          <w:u w:val="single"/>
        </w:rPr>
        <w:t>Fuel</w:t>
      </w:r>
      <w:r>
        <w:rPr/>
        <w:t>.  The generation facility will be dual-fueled with natural gas and No. 2 fuel oil.  The natural gas will be provided by the local gas distribution entity, and the fuel oil will be purchased from a provider to be determined.  The fuel oil will be stored in a 360,000 gallon storage tank located on site.  The facility can generate 95-100 hours of peaking output using only the on-site fuel oil.</w:t>
      </w:r>
    </w:p>
    <w:p>
      <w:pPr>
        <w:pStyle w:val="Normal"/>
        <w:spacing w:lineRule="auto" w:line="480"/>
        <w:jc w:val="both"/>
        <w:rPr/>
      </w:pPr>
      <w:r>
        <w:rPr/>
        <w:tab/>
        <w:t>5.</w:t>
        <w:tab/>
      </w:r>
      <w:r>
        <w:rPr>
          <w:u w:val="single"/>
        </w:rPr>
        <w:t>Transmission Interconnection</w:t>
      </w:r>
      <w:r>
        <w:rPr/>
        <w:t>.  The facility has a net plant output of 188 MW and can interconnect with Virginia Power on the 230 kV line between the Edgecombe NUG substation and the 55T105 N.O. substation (line #229 on the transmission map attached as Exhibits 1A, 1B and 1C).  It is also in close proximity to a 115 kV line owned by Carolina Power &amp; Light.</w:t>
      </w:r>
    </w:p>
    <w:p>
      <w:pPr>
        <w:pStyle w:val="Normal"/>
        <w:spacing w:lineRule="auto" w:line="480"/>
        <w:jc w:val="both"/>
        <w:rPr/>
      </w:pPr>
      <w:r>
        <w:rPr/>
        <w:tab/>
        <w:t>6.</w:t>
        <w:tab/>
      </w:r>
      <w:r>
        <w:rPr>
          <w:u w:val="single"/>
        </w:rPr>
        <w:t>Facility Layout</w:t>
      </w:r>
      <w:r>
        <w:rPr/>
        <w:t>.  The proposed facility layout is attached as Exhibit 2.</w:t>
      </w:r>
    </w:p>
    <w:p>
      <w:pPr>
        <w:pStyle w:val="Normal"/>
        <w:spacing w:lineRule="auto" w:line="480"/>
        <w:jc w:val="both"/>
        <w:rPr/>
      </w:pPr>
      <w:r>
        <w:rPr/>
        <w:tab/>
        <w:t>7.</w:t>
        <w:tab/>
      </w:r>
      <w:r>
        <w:rPr>
          <w:u w:val="single"/>
        </w:rPr>
        <w:t>Cost Estimate</w:t>
      </w:r>
      <w:r>
        <w:rPr/>
        <w:t>.  The estimated cost of the project is confidential.  As a result, Applicant shall submit this information in a sealed envelope stamped “Confidential.”  Applicant requests that this cost information, required by Commission Rule R8-61(a)(9), be considered confidential information pursuant to North Carolina General Statutes §  132.1.2, and that the Commission prohibit the public disclosure of this information.  Applicant will make this information available to the Commission promptly upon the execution of an appropriate confidentiality agreement with the Public Staff, and to other interested parties upon the execution of similar confidentiality agreements.</w:t>
      </w:r>
    </w:p>
    <w:p>
      <w:pPr>
        <w:pStyle w:val="Normal"/>
        <w:spacing w:lineRule="auto" w:line="480"/>
        <w:jc w:val="both"/>
        <w:rPr/>
      </w:pPr>
      <w:r>
        <w:rPr/>
        <w:tab/>
        <w:t>8.</w:t>
        <w:tab/>
      </w:r>
      <w:r>
        <w:rPr>
          <w:u w:val="single"/>
        </w:rPr>
        <w:t>Operations</w:t>
      </w:r>
      <w:r>
        <w:rPr/>
        <w:t>.  The facility will be operated to provide peaking power as required by North Carolina Power.  Under the terms of the Purchased Power Agreement with North Carolina Power, as currently negotiated, North Carolina Power may call upon 1400 hours per year.  Considering potential air quality restrictions and the type of fuel used, it is anticipated that the facility may operate a maximum of 2200 hours per year.</w:t>
      </w:r>
    </w:p>
    <w:p>
      <w:pPr>
        <w:pStyle w:val="Normal"/>
        <w:spacing w:lineRule="auto" w:line="480"/>
        <w:jc w:val="both"/>
        <w:rPr/>
      </w:pPr>
      <w:r>
        <w:rPr/>
        <w:tab/>
        <w:t>9.</w:t>
        <w:tab/>
      </w:r>
      <w:r>
        <w:rPr>
          <w:u w:val="single"/>
        </w:rPr>
        <w:t>Project Schedule</w:t>
      </w:r>
      <w:r>
        <w:rPr/>
        <w:t>.  A preliminary project schedule is attached as Exhibit 3.</w:t>
      </w:r>
    </w:p>
    <w:p>
      <w:pPr>
        <w:pStyle w:val="Normal"/>
        <w:spacing w:lineRule="auto" w:line="480"/>
        <w:jc w:val="both"/>
        <w:rPr/>
      </w:pPr>
      <w:r>
        <w:rPr/>
        <w:tab/>
        <w:t>10.</w:t>
        <w:tab/>
      </w:r>
      <w:r>
        <w:rPr>
          <w:u w:val="single"/>
        </w:rPr>
        <w:t>Site Description</w:t>
      </w:r>
      <w:r>
        <w:rPr/>
        <w:t>.  The site in question is located 0.3 miles southwest of the intersection of State Roads 1404 and 1407 in No. 7 Township, Edgecombe County near Battleboro, North Carolina.  A map of the site is attached as Exhibit 4.  The site is approximately 90% fallow field and 10% wooded.  The fallow field is in the early stages of succession, with very tall weeds and small diameter (&lt;3") pine saplings.  Wooded areas form the perimeter on the northern, eastern, and southern borders of the property.  The area is located on a gently sloping (2-6%) to relatively flat (0-2%) parcel of land consisting of 10.16 acres.  The site lies on a ridge that divides the Beech Branch and Moccasin Branch watersheds.  Drainage from the site runs to the southwest towards Beech Branch, which is one-half mile southwest of the site.  Beech Branch is a small, low-flow stream that is a tributary of the Tar River.  The site is not within the 100-year floodplain of either stream.  The site is in a rural section of Edgecombe County, which is predominately farmland and zoned prime agricultural.  The closest residence is approximately 1000 feet away from the site.  Surrounding land within a half mile of the site is either farmland or widely-spaced single family dwellings.  The site is surrounded by agricultural fields, with patches of woodlands that surround or separate fields and homesteads.  Cotton, tobacco, and soybeans are the predominate commodities grown in the area.</w:t>
      </w:r>
    </w:p>
    <w:p>
      <w:pPr>
        <w:pStyle w:val="Normal"/>
        <w:spacing w:lineRule="auto" w:line="480"/>
        <w:jc w:val="both"/>
        <w:rPr/>
      </w:pPr>
      <w:r>
        <w:rPr/>
        <w:tab/>
        <w:t>11.</w:t>
        <w:tab/>
      </w:r>
      <w:r>
        <w:rPr>
          <w:u w:val="single"/>
        </w:rPr>
        <w:t>Site Selection</w:t>
      </w:r>
      <w:r>
        <w:rPr/>
        <w:t xml:space="preserve">.  Applicant selected this site for several reasons.  The primary reason is that the Commission previously issued an order granting a Certificate of Public Convenience and Necessity to the North Carolina Eastern Municipal Power Agency (“NCEMPA”) authorizing the construction of an 80 MW simple cycle combustion turbine electric generating plant on the same site.   </w:t>
      </w:r>
      <w:r>
        <w:rPr>
          <w:u w:val="single"/>
        </w:rPr>
        <w:t>See</w:t>
      </w:r>
      <w:r>
        <w:rPr/>
        <w:t xml:space="preserve"> Commission Order dated February 3, 1992 in Docket No. E-48, Sub 1, attached as Exhibit 5.  The Commission submitted NCEMPA’s Application to the Clearinghouse Coordinator of the Office of Policy and Planning of the Department of Administration for distribution to interested state agencies.  On January 8, 1992, the Clearinghouse Coordinator made a filing with the Commission that no comments had been received.  Further, the Commission noted “the lack of any public complaint or comment. . .” in granting the Certificate.   Applicant felt that it would be advantageous, and would, perhaps, expedite the process, to select a site that had previously been reviewed by the Commission in a Certification process.   Further, because of that review, the site had also previously been permitted.</w:t>
      </w:r>
    </w:p>
    <w:p>
      <w:pPr>
        <w:pStyle w:val="Normal"/>
        <w:spacing w:lineRule="auto" w:line="480"/>
        <w:jc w:val="both"/>
        <w:rPr/>
      </w:pPr>
      <w:r>
        <w:rPr/>
        <w:tab/>
        <w:t xml:space="preserve">As described in Paragraph 5, the site also provides convenient transmission access as well as access to natural gas.  </w:t>
      </w:r>
      <w:r>
        <w:rPr>
          <w:u w:val="single"/>
        </w:rPr>
        <w:t>See</w:t>
      </w:r>
      <w:r>
        <w:rPr/>
        <w:t xml:space="preserve"> Exhibits 1A, 1B and 1C.  These characteristics give the site significant growth potential, as well.  Moreover, many of the same environmental issues addressed in the application submitted in 1991 remain unchanged, thus facilitating regulatory review.</w:t>
      </w:r>
    </w:p>
    <w:p>
      <w:pPr>
        <w:pStyle w:val="Normal"/>
        <w:spacing w:lineRule="auto" w:line="480"/>
        <w:jc w:val="both"/>
        <w:rPr/>
      </w:pPr>
      <w:r>
        <w:rPr/>
        <w:tab/>
        <w:t xml:space="preserve">Because of NCEMPA’s willingness to option the site, and its other favorable characteristics, Applicant did not seriously consider other sites.  Although Applicant initially looked at a six-acre site in Nash County, also owned by NCEMPA, that location was almost immediately rejected as too small, limited in expansion potential and as presenting more significant environmental hurdles.     </w:t>
      </w:r>
    </w:p>
    <w:p>
      <w:pPr>
        <w:pStyle w:val="Normal"/>
        <w:spacing w:lineRule="auto" w:line="480"/>
        <w:jc w:val="both"/>
        <w:rPr/>
      </w:pPr>
      <w:r>
        <w:rPr/>
        <w:tab/>
        <w:t>12.</w:t>
        <w:tab/>
      </w:r>
      <w:r>
        <w:rPr>
          <w:u w:val="single"/>
        </w:rPr>
        <w:t>Other Development at Site</w:t>
      </w:r>
      <w:r>
        <w:rPr/>
        <w:t>.  The site is privately owned with no existing plans for other development.  There are no public lands in the project area, and Applicant knows of no other development efforts adjacent to the site by government or private entities.</w:t>
      </w:r>
    </w:p>
    <w:p>
      <w:pPr>
        <w:pStyle w:val="Normal"/>
        <w:spacing w:lineRule="auto" w:line="480"/>
        <w:jc w:val="both"/>
        <w:rPr/>
      </w:pPr>
      <w:r>
        <w:rPr/>
        <w:tab/>
        <w:t>13.</w:t>
        <w:tab/>
      </w:r>
      <w:r>
        <w:rPr>
          <w:u w:val="single"/>
        </w:rPr>
        <w:t>Environmental Impact</w:t>
      </w:r>
      <w:r>
        <w:rPr/>
        <w:t>.  Applicant has contracted with ENSR, a Massachusetts-based environmental consulting firm with a Raleigh office, to provide environmental consulting services and obtain all related licenses and permits.  Applicant will supplement this application upon receipt of information from ENSR.</w:t>
      </w:r>
    </w:p>
    <w:p>
      <w:pPr>
        <w:pStyle w:val="Normal"/>
        <w:spacing w:lineRule="auto" w:line="480"/>
        <w:jc w:val="both"/>
        <w:rPr/>
      </w:pPr>
      <w:r>
        <w:rPr/>
        <w:tab/>
        <w:t>14.</w:t>
        <w:tab/>
      </w:r>
      <w:r>
        <w:rPr>
          <w:u w:val="single"/>
        </w:rPr>
        <w:t>Statement of Need</w:t>
      </w:r>
      <w:r>
        <w:rPr/>
        <w:t>.  Applicant seeks to construct this facility in response to an RFP issued by Virginia Power/North Carolina Power on December 10, 1999.  As described in the Statement of Need by Gary L. Edwards, Director - Capacity Acquisition, North Carolina Power, attached as Exhibit 6,  Applicant’s bid was selected for further review and negotiation for a Purchase Power Agreement.  Those negotiations are ongoing, and are expected to culminate in an Agreement by the end of August 2000.  The Agreement will be provided to the Commission promptly upon execution.</w:t>
      </w:r>
    </w:p>
    <w:p>
      <w:pPr>
        <w:pStyle w:val="Normal"/>
        <w:spacing w:lineRule="auto" w:line="480"/>
        <w:jc w:val="both"/>
        <w:rPr/>
      </w:pPr>
      <w:r>
        <w:rPr/>
        <w:tab/>
        <w:t>As the Commission recognized in its Order Adopting Integrated Resource Plans issued June 21, 2000, North Carolina Power’s reserve margin target of 12.5% is the lowest of the three major investor-owned utilities in North Carolina.  Furthermore, North Carolina Power’s reserves range from approximately 9.4% to 11.1% for the 2000 to 2009 period, with the lowest levels occurring at the end of this period.  Thus, North Carolina Power never reaches its 12.5% target level, indicating the need for generating capacity beyond the scope of the RFP noted previously.</w:t>
      </w:r>
    </w:p>
    <w:p>
      <w:pPr>
        <w:pStyle w:val="Normal"/>
        <w:spacing w:lineRule="auto" w:line="480"/>
        <w:jc w:val="both"/>
        <w:rPr/>
      </w:pPr>
      <w:r>
        <w:rPr/>
        <w:tab/>
        <w:t>15.</w:t>
        <w:tab/>
      </w:r>
      <w:r>
        <w:rPr>
          <w:u w:val="single"/>
        </w:rPr>
        <w:t>Required Permits</w:t>
      </w:r>
      <w:r>
        <w:rPr/>
        <w:t>.  The project will be required to obtain numerous permits and approvals associated with construction of the project.  The major environmental permits and approvals likely to be required for construction and operation of the proposed generating facility are identified on Exhibit 7.  Pre- and post-construction conditions of the site will be fully assessed to rate the magnitude of visual modification and its effect on the surrounding community, as well as continued adherence to all applicable air and water quality standards.  Throughout the permitting and development process, the project’s impact on present and future land use will be thoroughly documented.  At this time, the project schedule allows sufficient time for completion of all anticipated permit preparation and applications to allow for the desired construction schedule.</w:t>
      </w:r>
    </w:p>
    <w:p>
      <w:pPr>
        <w:pStyle w:val="Normal"/>
        <w:spacing w:lineRule="auto" w:line="480"/>
        <w:jc w:val="both"/>
        <w:rPr/>
      </w:pPr>
      <w:r>
        <w:rPr/>
        <w:tab/>
        <w:t>16.</w:t>
        <w:tab/>
        <w:t>The information contained in the attached materials as required by Commission Rule R8-61, North Carolina Power’s 1999 Integrated Resource Plan, and the testimony of Witness Keenan, demonstrates that the proposed generation construction is necessary in order for North Carolina Power to maintain the level of reserve margin necessary to ensure system reliability.  Thus, Applicant requests that the Commission grant it a certificate of public convenience and necessity to construct the proposed combustion turbine generating facility at the site selected.</w:t>
      </w:r>
    </w:p>
    <w:p>
      <w:pPr>
        <w:pStyle w:val="Normal"/>
        <w:spacing w:lineRule="auto" w:line="480"/>
        <w:jc w:val="both"/>
        <w:rPr/>
      </w:pPr>
      <w:r>
        <w:rPr/>
        <w:tab/>
        <w:t>17.</w:t>
        <w:tab/>
        <w:t>The attorneys for Applicant, to whom all communication and pleadings should be addressed, are:</w:t>
      </w:r>
    </w:p>
    <w:p>
      <w:pPr>
        <w:pStyle w:val="Normal"/>
        <w:jc w:val="both"/>
        <w:rPr/>
      </w:pPr>
      <w:r>
        <w:rPr/>
        <w:tab/>
        <w:tab/>
        <w:tab/>
        <w:t>Allyson K. Duncan</w:t>
      </w:r>
    </w:p>
    <w:p>
      <w:pPr>
        <w:pStyle w:val="Normal"/>
        <w:jc w:val="both"/>
        <w:rPr/>
      </w:pPr>
      <w:r>
        <w:rPr/>
        <w:tab/>
        <w:tab/>
        <w:tab/>
        <w:t>Jonathan M. Fine</w:t>
      </w:r>
    </w:p>
    <w:p>
      <w:pPr>
        <w:pStyle w:val="Normal"/>
        <w:jc w:val="both"/>
        <w:rPr/>
      </w:pPr>
      <w:r>
        <w:rPr/>
        <w:tab/>
        <w:tab/>
        <w:tab/>
        <w:t>Kilpatrick Stockton</w:t>
      </w:r>
    </w:p>
    <w:p>
      <w:pPr>
        <w:pStyle w:val="Normal"/>
        <w:jc w:val="both"/>
        <w:rPr/>
      </w:pPr>
      <w:r>
        <w:rPr/>
        <w:tab/>
        <w:tab/>
        <w:tab/>
        <w:t>3737 Glenwood Avenue, Suite 400</w:t>
      </w:r>
    </w:p>
    <w:p>
      <w:pPr>
        <w:pStyle w:val="Normal"/>
        <w:jc w:val="both"/>
        <w:rPr/>
      </w:pPr>
      <w:r>
        <w:rPr/>
        <w:tab/>
        <w:tab/>
        <w:tab/>
        <w:t>Raleigh, North Carolina  27612</w:t>
      </w:r>
    </w:p>
    <w:p>
      <w:pPr>
        <w:pStyle w:val="Normal"/>
        <w:jc w:val="both"/>
        <w:rPr/>
      </w:pPr>
      <w:r>
        <w:rPr/>
        <w:tab/>
        <w:tab/>
        <w:tab/>
        <w:t>919/420-1809</w:t>
      </w:r>
    </w:p>
    <w:p>
      <w:pPr>
        <w:pStyle w:val="Normal"/>
        <w:jc w:val="both"/>
        <w:rPr/>
      </w:pPr>
      <w:r>
        <w:rPr/>
        <w:tab/>
      </w:r>
    </w:p>
    <w:p>
      <w:pPr>
        <w:pStyle w:val="Normal"/>
        <w:jc w:val="both"/>
        <w:rPr/>
      </w:pPr>
      <w:r>
        <w:rPr/>
        <w:tab/>
        <w:tab/>
        <w:tab/>
        <w:t>Lisa J. Mellencamp</w:t>
      </w:r>
    </w:p>
    <w:p>
      <w:pPr>
        <w:pStyle w:val="Normal"/>
        <w:jc w:val="both"/>
        <w:rPr/>
      </w:pPr>
      <w:r>
        <w:rPr/>
        <w:tab/>
        <w:tab/>
        <w:tab/>
        <w:t>Enron North America Corp.</w:t>
      </w:r>
    </w:p>
    <w:p>
      <w:pPr>
        <w:pStyle w:val="Normal"/>
        <w:jc w:val="both"/>
        <w:rPr/>
      </w:pPr>
      <w:r>
        <w:rPr/>
        <w:tab/>
        <w:tab/>
        <w:tab/>
        <w:t>1400 Smith Street</w:t>
      </w:r>
    </w:p>
    <w:p>
      <w:pPr>
        <w:pStyle w:val="Normal"/>
        <w:jc w:val="both"/>
        <w:rPr/>
      </w:pPr>
      <w:r>
        <w:rPr/>
        <w:tab/>
        <w:tab/>
        <w:tab/>
        <w:t>Houston, Texas  77002-7361</w:t>
      </w:r>
    </w:p>
    <w:p>
      <w:pPr>
        <w:pStyle w:val="Normal"/>
        <w:jc w:val="both"/>
        <w:rPr/>
      </w:pPr>
      <w:r>
        <w:rPr/>
        <w:tab/>
        <w:tab/>
        <w:tab/>
        <w:t>713/853-7986</w:t>
      </w:r>
    </w:p>
    <w:p>
      <w:pPr>
        <w:pStyle w:val="Normal"/>
        <w:spacing w:lineRule="auto" w:line="480"/>
        <w:jc w:val="both"/>
        <w:rPr/>
      </w:pPr>
      <w:r>
        <w:rPr/>
      </w:r>
    </w:p>
    <w:p>
      <w:pPr>
        <w:pStyle w:val="Normal"/>
        <w:spacing w:lineRule="auto" w:line="480"/>
        <w:jc w:val="both"/>
        <w:rPr/>
      </w:pPr>
      <w:r>
        <w:rPr/>
        <w:tab/>
        <w:t>WHEREFORE, Applicant requests that the Commission find that pursuant to North Carolina General Statutes §§ 62-82 and 62.110.1 and Rule R8-61 that the public convenience and necessity requires construction of the proposed Edgecombe County combustion turbine generating facilities and issue the Applicant a certificate of public convenience and necessity to construct such facilities.</w:t>
      </w:r>
    </w:p>
    <w:p>
      <w:pPr>
        <w:pStyle w:val="Normal"/>
        <w:spacing w:lineRule="auto" w:line="480"/>
        <w:jc w:val="both"/>
        <w:rPr/>
      </w:pPr>
      <w:r>
        <w:rPr/>
        <w:tab/>
        <w:t>This, the 10th day of July, 2000.</w:t>
      </w:r>
    </w:p>
    <w:p>
      <w:pPr>
        <w:pStyle w:val="Normal"/>
        <w:spacing w:lineRule="auto" w:line="480"/>
        <w:jc w:val="both"/>
        <w:rPr/>
      </w:pPr>
      <w:r>
        <w:rPr/>
      </w:r>
    </w:p>
    <w:p>
      <w:pPr>
        <w:pStyle w:val="Normal"/>
        <w:jc w:val="both"/>
        <w:rPr/>
      </w:pPr>
      <w:r>
        <w:rPr/>
        <w:tab/>
        <w:tab/>
        <w:tab/>
        <w:tab/>
        <w:tab/>
        <w:tab/>
        <w:tab/>
        <w:t>By: _______________________________</w:t>
        <w:tab/>
      </w:r>
    </w:p>
    <w:p>
      <w:pPr>
        <w:pStyle w:val="Normal"/>
        <w:jc w:val="both"/>
        <w:rPr/>
      </w:pPr>
      <w:r>
        <w:rPr/>
        <w:tab/>
        <w:tab/>
        <w:tab/>
        <w:tab/>
        <w:tab/>
        <w:tab/>
        <w:tab/>
        <w:tab/>
        <w:t>Allyson K.Duncan</w:t>
      </w:r>
    </w:p>
    <w:p>
      <w:pPr>
        <w:pStyle w:val="Normal"/>
        <w:jc w:val="both"/>
        <w:rPr/>
      </w:pPr>
      <w:r>
        <w:rPr/>
        <w:tab/>
        <w:tab/>
        <w:tab/>
        <w:tab/>
        <w:tab/>
        <w:tab/>
        <w:tab/>
        <w:tab/>
        <w:t>Jonathan M. Fine</w:t>
      </w:r>
    </w:p>
    <w:p>
      <w:pPr>
        <w:pStyle w:val="Normal"/>
        <w:jc w:val="both"/>
        <w:rPr/>
      </w:pPr>
      <w:r>
        <w:rPr/>
        <w:tab/>
        <w:tab/>
        <w:tab/>
        <w:tab/>
        <w:tab/>
        <w:tab/>
        <w:tab/>
        <w:tab/>
        <w:t>Kilpatrick Stockton</w:t>
      </w:r>
    </w:p>
    <w:p>
      <w:pPr>
        <w:pStyle w:val="Normal"/>
        <w:jc w:val="both"/>
        <w:rPr/>
      </w:pPr>
      <w:r>
        <w:rPr/>
        <w:tab/>
        <w:tab/>
        <w:tab/>
        <w:tab/>
        <w:tab/>
        <w:tab/>
        <w:tab/>
        <w:tab/>
        <w:t>3737 Glenwood Avenue, Suite 400</w:t>
      </w:r>
    </w:p>
    <w:p>
      <w:pPr>
        <w:pStyle w:val="Normal"/>
        <w:jc w:val="both"/>
        <w:rPr/>
      </w:pPr>
      <w:r>
        <w:rPr/>
        <w:tab/>
        <w:tab/>
        <w:tab/>
        <w:tab/>
        <w:tab/>
        <w:tab/>
        <w:tab/>
        <w:tab/>
        <w:t>Raleigh, North Carolina  27612</w:t>
      </w:r>
    </w:p>
    <w:p>
      <w:pPr>
        <w:pStyle w:val="Normal"/>
        <w:spacing w:lineRule="auto" w:line="480"/>
        <w:jc w:val="both"/>
        <w:rPr/>
      </w:pPr>
      <w:r>
        <w:rPr/>
        <w:tab/>
        <w:tab/>
        <w:tab/>
        <w:tab/>
        <w:tab/>
        <w:tab/>
        <w:tab/>
        <w:tab/>
        <w:t>919/420-1809</w:t>
      </w:r>
      <w:r>
        <w:br w:type="page"/>
      </w:r>
    </w:p>
    <w:p>
      <w:pPr>
        <w:pStyle w:val="Normal"/>
        <w:spacing w:lineRule="auto" w:line="480"/>
        <w:jc w:val="center"/>
        <w:rPr/>
      </w:pPr>
      <w:r>
        <w:rPr/>
        <w:t>EXHIBIT 7</w:t>
      </w:r>
    </w:p>
    <w:p>
      <w:pPr>
        <w:pStyle w:val="Normal"/>
        <w:jc w:val="center"/>
        <w:rPr>
          <w:b/>
          <w:bCs/>
          <w:sz w:val="22"/>
          <w:szCs w:val="22"/>
        </w:rPr>
      </w:pPr>
      <w:r>
        <w:rPr>
          <w:b/>
          <w:bCs/>
          <w:sz w:val="22"/>
          <w:szCs w:val="22"/>
        </w:rPr>
        <w:t>ANTICIPATED PERMITS AND APPROVALS REQUIRED FOR</w:t>
      </w:r>
    </w:p>
    <w:p>
      <w:pPr>
        <w:pStyle w:val="Normal"/>
        <w:jc w:val="center"/>
        <w:rPr>
          <w:b/>
          <w:bCs/>
          <w:sz w:val="22"/>
          <w:szCs w:val="22"/>
        </w:rPr>
      </w:pPr>
      <w:r>
        <w:rPr>
          <w:b/>
          <w:bCs/>
          <w:sz w:val="22"/>
          <w:szCs w:val="22"/>
        </w:rPr>
        <w:t>CONSTRUCTION AND OPERATION OF THE PROPOSED FACILITY</w:t>
      </w:r>
    </w:p>
    <w:p>
      <w:pPr>
        <w:pStyle w:val="Normal"/>
        <w:jc w:val="center"/>
        <w:rPr>
          <w:b/>
          <w:bCs/>
          <w:sz w:val="22"/>
          <w:szCs w:val="22"/>
        </w:rPr>
      </w:pPr>
      <w:r>
        <w:rPr>
          <w:b/>
          <w:bCs/>
          <w:sz w:val="22"/>
          <w:szCs w:val="22"/>
        </w:rPr>
        <w:t>IN EDGECOMBE COUNTY, NORTH CAROLINA</w:t>
      </w:r>
    </w:p>
    <w:p>
      <w:pPr>
        <w:pStyle w:val="Normal"/>
        <w:jc w:val="center"/>
        <w:rPr>
          <w:b/>
          <w:bCs/>
          <w:sz w:val="22"/>
          <w:szCs w:val="22"/>
        </w:rPr>
      </w:pPr>
      <w:r>
        <w:rPr>
          <w:b/>
          <w:bCs/>
          <w:sz w:val="22"/>
          <w:szCs w:val="22"/>
        </w:rPr>
      </w:r>
    </w:p>
    <w:tbl>
      <w:tblPr>
        <w:tblW w:w="8973" w:type="dxa"/>
        <w:jc w:val="start"/>
        <w:tblInd w:w="0" w:type="dxa"/>
        <w:tblLayout w:type="fixed"/>
        <w:tblCellMar>
          <w:top w:w="0" w:type="dxa"/>
          <w:start w:w="108" w:type="dxa"/>
          <w:bottom w:w="0" w:type="dxa"/>
          <w:end w:w="108" w:type="dxa"/>
        </w:tblCellMar>
      </w:tblPr>
      <w:tblGrid>
        <w:gridCol w:w="2214"/>
        <w:gridCol w:w="2331"/>
        <w:gridCol w:w="2214"/>
        <w:gridCol w:w="2214"/>
      </w:tblGrid>
      <w:tr>
        <w:trPr>
          <w:tblHeader w:val="true"/>
        </w:trPr>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AGENCY</w:t>
            </w:r>
          </w:p>
          <w:p>
            <w:pPr>
              <w:pStyle w:val="Normal"/>
              <w:jc w:val="center"/>
              <w:rPr>
                <w:b/>
                <w:bCs/>
                <w:sz w:val="22"/>
                <w:szCs w:val="22"/>
                <w:u w:val="single"/>
              </w:rPr>
            </w:pPr>
            <w:r>
              <w:rPr>
                <w:b/>
                <w:bCs/>
                <w:sz w:val="22"/>
                <w:szCs w:val="22"/>
                <w:u w:val="single"/>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ACTIVITY</w:t>
            </w:r>
          </w:p>
        </w:tc>
        <w:tc>
          <w:tcPr>
            <w:tcW w:w="2214" w:type="dxa"/>
            <w:tcBorders>
              <w:top w:val="single" w:sz="6" w:space="0" w:color="000000"/>
              <w:start w:val="single" w:sz="6" w:space="0" w:color="000000"/>
              <w:bottom w:val="single" w:sz="6" w:space="0" w:color="000000"/>
              <w:end w:val="single" w:sz="6" w:space="0" w:color="000000"/>
            </w:tcBorders>
          </w:tcPr>
          <w:p>
            <w:pPr>
              <w:pStyle w:val="Normal"/>
              <w:jc w:val="center"/>
              <w:rPr>
                <w:b/>
                <w:bCs/>
                <w:sz w:val="22"/>
                <w:szCs w:val="22"/>
              </w:rPr>
            </w:pPr>
            <w:r>
              <w:rPr>
                <w:b/>
                <w:bCs/>
                <w:sz w:val="22"/>
                <w:szCs w:val="22"/>
              </w:rPr>
              <w:t xml:space="preserve">TYPE OF </w:t>
            </w:r>
          </w:p>
          <w:p>
            <w:pPr>
              <w:pStyle w:val="Normal"/>
              <w:jc w:val="center"/>
              <w:rPr/>
            </w:pPr>
            <w:r>
              <w:rPr>
                <w:b/>
                <w:bCs/>
                <w:sz w:val="22"/>
                <w:szCs w:val="22"/>
                <w:u w:val="single"/>
              </w:rPr>
              <w:t>APPROVA</w:t>
            </w:r>
            <w:r>
              <w:rPr>
                <w:b/>
                <w:bCs/>
                <w:sz w:val="22"/>
                <w:szCs w:val="22"/>
              </w:rPr>
              <w:t>L</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AUTHORITY</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jc w:val="both"/>
              <w:rPr>
                <w:b/>
                <w:bCs/>
                <w:sz w:val="22"/>
                <w:szCs w:val="22"/>
              </w:rPr>
            </w:pPr>
            <w:r>
              <w:rPr>
                <w:b/>
                <w:bCs/>
                <w:sz w:val="22"/>
                <w:szCs w:val="22"/>
              </w:rPr>
              <w:t>FEDERAL</w:t>
            </w:r>
          </w:p>
          <w:p>
            <w:pPr>
              <w:pStyle w:val="Normal"/>
              <w:jc w:val="both"/>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sz w:val="22"/>
                <w:szCs w:val="22"/>
              </w:rPr>
            </w:pPr>
            <w:r>
              <w:rPr>
                <w:b/>
                <w:bCs/>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U.S. Federal Aviation Administration</w:t>
            </w:r>
          </w:p>
          <w:p>
            <w:pPr>
              <w:pStyle w:val="Normal"/>
              <w:rPr>
                <w:sz w:val="22"/>
                <w:szCs w:val="22"/>
              </w:rPr>
            </w:pPr>
            <w:r>
              <w:rPr>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Construction of Stack(s)</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Notice of Proposed Construction</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14 CFR S.77.13</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Federal Energy Regulatory Commission</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Certification of</w:t>
            </w:r>
          </w:p>
          <w:p>
            <w:pPr>
              <w:pStyle w:val="Normal"/>
              <w:jc w:val="both"/>
              <w:rPr>
                <w:sz w:val="22"/>
                <w:szCs w:val="22"/>
              </w:rPr>
            </w:pPr>
            <w:r>
              <w:rPr>
                <w:sz w:val="22"/>
                <w:szCs w:val="22"/>
              </w:rPr>
              <w:t>Exempt Wholesale Generator Status; and Power</w:t>
            </w:r>
          </w:p>
          <w:p>
            <w:pPr>
              <w:pStyle w:val="Normal"/>
              <w:jc w:val="both"/>
              <w:rPr>
                <w:sz w:val="22"/>
                <w:szCs w:val="22"/>
              </w:rPr>
            </w:pPr>
            <w:r>
              <w:rPr>
                <w:sz w:val="22"/>
                <w:szCs w:val="22"/>
              </w:rPr>
              <w:t>Marketer Certification</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Certification to show electricity sales will be made at wholesale</w:t>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Federal Power Act</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U.S. Dept. of Energy</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Fuel Use</w:t>
            </w:r>
          </w:p>
          <w:p>
            <w:pPr>
              <w:pStyle w:val="Normal"/>
              <w:jc w:val="both"/>
              <w:rPr>
                <w:sz w:val="22"/>
                <w:szCs w:val="22"/>
              </w:rPr>
            </w:pPr>
            <w:r>
              <w:rPr>
                <w:sz w:val="22"/>
                <w:szCs w:val="22"/>
              </w:rPr>
              <w:t>Exemption Act</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Exemption to burn natural gas and No. 2 fuel oil</w:t>
            </w:r>
          </w:p>
          <w:p>
            <w:pPr>
              <w:pStyle w:val="Normal"/>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United States Army Corps of Engineers</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Construction/Impact on any wetlands</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Section 404 Permit</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U.S. Fish and Wildlife Service</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Construction/Land</w:t>
            </w:r>
          </w:p>
          <w:p>
            <w:pPr>
              <w:pStyle w:val="Normal"/>
              <w:jc w:val="both"/>
              <w:rPr>
                <w:sz w:val="22"/>
                <w:szCs w:val="22"/>
              </w:rPr>
            </w:pPr>
            <w:r>
              <w:rPr>
                <w:sz w:val="22"/>
                <w:szCs w:val="22"/>
              </w:rPr>
              <w:t>Disturbance</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Threatened and</w:t>
            </w:r>
          </w:p>
          <w:p>
            <w:pPr>
              <w:pStyle w:val="Normal"/>
              <w:rPr>
                <w:sz w:val="22"/>
                <w:szCs w:val="22"/>
              </w:rPr>
            </w:pPr>
            <w:r>
              <w:rPr>
                <w:sz w:val="22"/>
                <w:szCs w:val="22"/>
              </w:rPr>
              <w:t>Endangered Species Compliance</w:t>
            </w:r>
          </w:p>
          <w:p>
            <w:pPr>
              <w:pStyle w:val="Normal"/>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rFonts w:ascii="Times New Roman Bold;Times New Roman" w:hAnsi="Times New Roman Bold;Times New Roman" w:eastAsia="Times New Roman Bold;Times New Roman" w:cs="Times New Roman Bold;Times New Roman"/>
                <w:b/>
                <w:bCs/>
                <w:caps/>
                <w:sz w:val="22"/>
                <w:szCs w:val="22"/>
              </w:rPr>
            </w:pPr>
            <w:r>
              <w:rPr>
                <w:rFonts w:eastAsia="Times New Roman Bold;Times New Roman" w:cs="Times New Roman Bold;Times New Roman" w:ascii="Times New Roman Bold;Times New Roman" w:hAnsi="Times New Roman Bold;Times New Roman"/>
                <w:b/>
                <w:bCs/>
                <w:caps/>
                <w:sz w:val="22"/>
                <w:szCs w:val="22"/>
              </w:rPr>
              <w:t>State</w:t>
            </w:r>
          </w:p>
          <w:p>
            <w:pPr>
              <w:pStyle w:val="Normal"/>
              <w:rPr>
                <w:rFonts w:ascii="Times New Roman Bold;Times New Roman" w:hAnsi="Times New Roman Bold;Times New Roman" w:eastAsia="Times New Roman Bold;Times New Roman" w:cs="Times New Roman Bold;Times New Roman"/>
                <w:b/>
                <w:bCs/>
                <w:caps/>
                <w:sz w:val="22"/>
                <w:szCs w:val="22"/>
              </w:rPr>
            </w:pPr>
            <w:r>
              <w:rPr>
                <w:rFonts w:eastAsia="Times New Roman Bold;Times New Roman" w:cs="Times New Roman Bold;Times New Roman" w:ascii="Times New Roman Bold;Times New Roman" w:hAnsi="Times New Roman Bold;Times New Roman"/>
                <w:b/>
                <w:bCs/>
                <w:cap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North Carolina Public Utilities</w:t>
            </w:r>
          </w:p>
          <w:p>
            <w:pPr>
              <w:pStyle w:val="Normal"/>
              <w:rPr>
                <w:sz w:val="22"/>
                <w:szCs w:val="22"/>
              </w:rPr>
            </w:pPr>
            <w:r>
              <w:rPr>
                <w:sz w:val="22"/>
                <w:szCs w:val="22"/>
              </w:rPr>
              <w:t>Commission</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 and operation of 188 MW peaking plant and any associated transmission linkage</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Certificate of Public Convenience and Necessity</w:t>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NCGS § 72-110.2 and Commission Rule R8-61</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North Carolina Dept. of Environment, Health and Natural Resources</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Air Pollutant</w:t>
            </w:r>
          </w:p>
          <w:p>
            <w:pPr>
              <w:pStyle w:val="Normal"/>
              <w:jc w:val="both"/>
              <w:rPr>
                <w:sz w:val="22"/>
                <w:szCs w:val="22"/>
              </w:rPr>
            </w:pPr>
            <w:r>
              <w:rPr>
                <w:sz w:val="22"/>
                <w:szCs w:val="22"/>
              </w:rPr>
              <w:t>Emissions</w:t>
            </w:r>
          </w:p>
        </w:tc>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Prevention of Significant Deterioration (PSD) Permit (Authorization to Construct) Title IV and Title V Operating Permits</w:t>
            </w:r>
          </w:p>
          <w:p>
            <w:pPr>
              <w:pStyle w:val="Normal"/>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Clean Air Acts as amended</w:t>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Water Discharge(s)</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pPr>
            <w:r>
              <w:rPr>
                <w:rFonts w:eastAsia="Symbol" w:cs="Symbol" w:ascii="Symbol" w:hAnsi="Symbol"/>
                <w:sz w:val="22"/>
                <w:szCs w:val="22"/>
              </w:rPr>
              <w:sym w:font="Symbol" w:char="b7"/>
            </w:r>
            <w:r>
              <w:rPr>
                <w:sz w:val="22"/>
                <w:szCs w:val="22"/>
              </w:rPr>
              <w:tab/>
              <w:t>NPDES</w:t>
            </w:r>
          </w:p>
          <w:p>
            <w:pPr>
              <w:pStyle w:val="Normal"/>
              <w:tabs>
                <w:tab w:val="clear" w:pos="720"/>
                <w:tab w:val="left" w:pos="432" w:leader="none"/>
              </w:tabs>
              <w:rPr>
                <w:sz w:val="22"/>
                <w:szCs w:val="22"/>
              </w:rPr>
            </w:pPr>
            <w:r>
              <w:rPr>
                <w:sz w:val="22"/>
                <w:szCs w:val="22"/>
              </w:rPr>
              <w:tab/>
              <w:t xml:space="preserve">Stormwater </w:t>
            </w:r>
          </w:p>
          <w:p>
            <w:pPr>
              <w:pStyle w:val="Normal"/>
              <w:tabs>
                <w:tab w:val="clear" w:pos="720"/>
                <w:tab w:val="left" w:pos="432" w:leader="none"/>
              </w:tabs>
              <w:rPr>
                <w:sz w:val="22"/>
                <w:szCs w:val="22"/>
              </w:rPr>
            </w:pPr>
            <w:r>
              <w:rPr>
                <w:sz w:val="22"/>
                <w:szCs w:val="22"/>
              </w:rPr>
              <w:tab/>
              <w:t xml:space="preserve">Construction </w:t>
            </w:r>
          </w:p>
          <w:p>
            <w:pPr>
              <w:pStyle w:val="Normal"/>
              <w:tabs>
                <w:tab w:val="clear" w:pos="720"/>
                <w:tab w:val="left" w:pos="432" w:leader="none"/>
              </w:tabs>
              <w:rPr>
                <w:sz w:val="22"/>
                <w:szCs w:val="22"/>
              </w:rPr>
            </w:pPr>
            <w:r>
              <w:rPr>
                <w:sz w:val="22"/>
                <w:szCs w:val="22"/>
              </w:rPr>
              <w:tab/>
              <w:t>Permit</w:t>
            </w:r>
          </w:p>
          <w:p>
            <w:pPr>
              <w:pStyle w:val="Normal"/>
              <w:tabs>
                <w:tab w:val="clear" w:pos="720"/>
                <w:tab w:val="left" w:pos="432" w:leader="none"/>
              </w:tabs>
              <w:rPr/>
            </w:pPr>
            <w:r>
              <w:rPr>
                <w:rFonts w:eastAsia="Symbol" w:cs="Symbol" w:ascii="Symbol" w:hAnsi="Symbol"/>
                <w:sz w:val="22"/>
                <w:szCs w:val="22"/>
              </w:rPr>
              <w:sym w:font="Symbol" w:char="b7"/>
            </w:r>
            <w:r>
              <w:rPr>
                <w:sz w:val="22"/>
                <w:szCs w:val="22"/>
              </w:rPr>
              <w:tab/>
              <w:t>Sedimentation</w:t>
            </w:r>
          </w:p>
          <w:p>
            <w:pPr>
              <w:pStyle w:val="Normal"/>
              <w:tabs>
                <w:tab w:val="clear" w:pos="720"/>
                <w:tab w:val="left" w:pos="432" w:leader="none"/>
              </w:tabs>
              <w:rPr>
                <w:sz w:val="22"/>
                <w:szCs w:val="22"/>
              </w:rPr>
            </w:pPr>
            <w:r>
              <w:rPr>
                <w:sz w:val="22"/>
                <w:szCs w:val="22"/>
              </w:rPr>
              <w:tab/>
              <w:t xml:space="preserve">Control Plan </w:t>
            </w:r>
          </w:p>
          <w:p>
            <w:pPr>
              <w:pStyle w:val="Normal"/>
              <w:tabs>
                <w:tab w:val="clear" w:pos="720"/>
                <w:tab w:val="left" w:pos="432" w:leader="none"/>
              </w:tabs>
              <w:rPr>
                <w:sz w:val="22"/>
                <w:szCs w:val="22"/>
              </w:rPr>
            </w:pPr>
            <w:r>
              <w:rPr>
                <w:sz w:val="22"/>
                <w:szCs w:val="22"/>
              </w:rPr>
              <w:tab/>
              <w:t>Approval</w:t>
            </w:r>
          </w:p>
          <w:p>
            <w:pPr>
              <w:pStyle w:val="Normal"/>
              <w:tabs>
                <w:tab w:val="clear" w:pos="720"/>
                <w:tab w:val="left" w:pos="432" w:leader="none"/>
              </w:tabs>
              <w:rPr>
                <w:sz w:val="22"/>
                <w:szCs w:val="22"/>
              </w:rPr>
            </w:pPr>
            <w:r>
              <w:rPr>
                <w:sz w:val="22"/>
                <w:szCs w:val="22"/>
              </w:rPr>
              <w:t>Septic Tank Permit Transfer (may only be local)</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Spill Prevention</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SPCC Plan</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Department of Transportation</w:t>
            </w:r>
          </w:p>
          <w:p>
            <w:pPr>
              <w:pStyle w:val="Normal"/>
              <w:rPr>
                <w:sz w:val="22"/>
                <w:szCs w:val="22"/>
              </w:rPr>
            </w:pPr>
            <w:r>
              <w:rPr>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Depends on routing and access</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Driveway permit, etc.</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Department of Cultural Resources</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Cultural Resources</w:t>
            </w:r>
          </w:p>
          <w:p>
            <w:pPr>
              <w:pStyle w:val="Normal"/>
              <w:jc w:val="both"/>
              <w:rPr>
                <w:sz w:val="22"/>
                <w:szCs w:val="22"/>
              </w:rPr>
            </w:pPr>
            <w:r>
              <w:rPr>
                <w:sz w:val="22"/>
                <w:szCs w:val="22"/>
              </w:rPr>
              <w:t>Review</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Approval of archaeological survey, if required</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North Carolina Secretary of State</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Authorization to</w:t>
            </w:r>
          </w:p>
          <w:p>
            <w:pPr>
              <w:pStyle w:val="Normal"/>
              <w:jc w:val="both"/>
              <w:rPr>
                <w:sz w:val="22"/>
                <w:szCs w:val="22"/>
              </w:rPr>
            </w:pPr>
            <w:r>
              <w:rPr>
                <w:sz w:val="22"/>
                <w:szCs w:val="22"/>
              </w:rPr>
              <w:t>Conduct Business in North Carolina</w:t>
            </w:r>
          </w:p>
          <w:p>
            <w:pPr>
              <w:pStyle w:val="Normal"/>
              <w:jc w:val="both"/>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Certificate of Authority</w:t>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b/>
                <w:bCs/>
                <w:sz w:val="22"/>
                <w:szCs w:val="22"/>
              </w:rPr>
            </w:pPr>
            <w:r>
              <w:rPr>
                <w:b/>
                <w:bCs/>
                <w:sz w:val="22"/>
                <w:szCs w:val="22"/>
              </w:rPr>
              <w:t>LOCAL</w:t>
            </w:r>
          </w:p>
          <w:p>
            <w:pPr>
              <w:pStyle w:val="Normal"/>
              <w:rPr>
                <w:b/>
                <w:bCs/>
                <w:sz w:val="22"/>
                <w:szCs w:val="22"/>
              </w:rPr>
            </w:pPr>
            <w:r>
              <w:rPr>
                <w:b/>
                <w:bCs/>
                <w:sz w:val="22"/>
                <w:szCs w:val="22"/>
              </w:rPr>
            </w:r>
          </w:p>
        </w:tc>
        <w:tc>
          <w:tcPr>
            <w:tcW w:w="233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b/>
                <w:bCs/>
                <w:sz w:val="22"/>
                <w:szCs w:val="22"/>
              </w:rPr>
            </w:pPr>
            <w:r>
              <w:rPr>
                <w:b/>
                <w:bCs/>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snapToGrid w:val="false"/>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szCs w:val="22"/>
              </w:rPr>
            </w:pPr>
            <w:r>
              <w:rPr>
                <w:sz w:val="22"/>
                <w:szCs w:val="22"/>
              </w:rPr>
            </w:r>
          </w:p>
        </w:tc>
      </w:tr>
      <w:tr>
        <w:trPr/>
        <w:tc>
          <w:tcPr>
            <w:tcW w:w="2214"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Edgecombe</w:t>
            </w:r>
          </w:p>
        </w:tc>
        <w:tc>
          <w:tcPr>
            <w:tcW w:w="2331"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Construction/Placement of Facility</w:t>
            </w:r>
          </w:p>
        </w:tc>
        <w:tc>
          <w:tcPr>
            <w:tcW w:w="221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s>
              <w:rPr>
                <w:sz w:val="22"/>
                <w:szCs w:val="22"/>
              </w:rPr>
            </w:pPr>
            <w:r>
              <w:rPr>
                <w:sz w:val="22"/>
                <w:szCs w:val="22"/>
              </w:rPr>
              <w:t>Issue of Conditional Use Permit-Zoning Board and County Commissioners Local Construction Permit Certificate of Occupancy Fire Safety Approval</w:t>
            </w:r>
          </w:p>
          <w:p>
            <w:pPr>
              <w:pStyle w:val="Normal"/>
              <w:tabs>
                <w:tab w:val="clear" w:pos="720"/>
                <w:tab w:val="left" w:pos="432" w:leader="none"/>
              </w:tabs>
              <w:rPr>
                <w:sz w:val="22"/>
                <w:szCs w:val="22"/>
              </w:rPr>
            </w:pPr>
            <w:r>
              <w:rPr>
                <w:sz w:val="22"/>
                <w:szCs w:val="22"/>
              </w:rPr>
            </w:r>
          </w:p>
        </w:tc>
        <w:tc>
          <w:tcPr>
            <w:tcW w:w="2214" w:type="dxa"/>
            <w:tcBorders>
              <w:top w:val="single" w:sz="6" w:space="0" w:color="000000"/>
              <w:start w:val="single" w:sz="6" w:space="0" w:color="000000"/>
              <w:bottom w:val="single" w:sz="6" w:space="0" w:color="000000"/>
              <w:end w:val="single" w:sz="6" w:space="0" w:color="000000"/>
            </w:tcBorders>
          </w:tcPr>
          <w:p>
            <w:pPr>
              <w:pStyle w:val="Normal"/>
              <w:jc w:val="both"/>
              <w:rPr>
                <w:sz w:val="22"/>
                <w:szCs w:val="22"/>
              </w:rPr>
            </w:pPr>
            <w:r>
              <w:rPr>
                <w:sz w:val="22"/>
                <w:szCs w:val="22"/>
              </w:rPr>
              <w:t>Edgecombe County Zoning By-Laws</w:t>
            </w:r>
          </w:p>
          <w:p>
            <w:pPr>
              <w:pStyle w:val="Normal"/>
              <w:jc w:val="both"/>
              <w:rPr>
                <w:sz w:val="22"/>
                <w:szCs w:val="22"/>
              </w:rPr>
            </w:pPr>
            <w:r>
              <w:rPr>
                <w:sz w:val="22"/>
                <w:szCs w:val="22"/>
              </w:rPr>
            </w:r>
          </w:p>
          <w:p>
            <w:pPr>
              <w:pStyle w:val="Normal"/>
              <w:jc w:val="both"/>
              <w:rPr>
                <w:sz w:val="22"/>
                <w:szCs w:val="22"/>
              </w:rPr>
            </w:pPr>
            <w:r>
              <w:rPr>
                <w:sz w:val="22"/>
                <w:szCs w:val="22"/>
              </w:rPr>
              <w:t>Building Codes</w:t>
            </w:r>
          </w:p>
          <w:p>
            <w:pPr>
              <w:pStyle w:val="Normal"/>
              <w:jc w:val="both"/>
              <w:rPr>
                <w:sz w:val="22"/>
                <w:szCs w:val="22"/>
              </w:rPr>
            </w:pPr>
            <w:r>
              <w:rPr>
                <w:sz w:val="22"/>
                <w:szCs w:val="22"/>
              </w:rPr>
            </w:r>
          </w:p>
          <w:p>
            <w:pPr>
              <w:pStyle w:val="Normal"/>
              <w:jc w:val="both"/>
              <w:rPr>
                <w:sz w:val="22"/>
                <w:szCs w:val="22"/>
              </w:rPr>
            </w:pPr>
            <w:r>
              <w:rPr>
                <w:sz w:val="22"/>
                <w:szCs w:val="22"/>
              </w:rPr>
              <w:t>County Fire Marshall</w:t>
            </w:r>
          </w:p>
        </w:tc>
      </w:tr>
    </w:tbl>
    <w:p>
      <w:pPr>
        <w:pStyle w:val="Normal"/>
        <w:rPr>
          <w:b/>
          <w:bCs/>
          <w:sz w:val="22"/>
          <w:szCs w:val="22"/>
        </w:rPr>
      </w:pPr>
      <w:r>
        <w:rPr>
          <w:b/>
          <w:bCs/>
          <w:sz w:val="22"/>
          <w:szCs w:val="22"/>
        </w:rPr>
      </w:r>
    </w:p>
    <w:p>
      <w:pPr>
        <w:pStyle w:val="Normal"/>
        <w:rPr>
          <w:b/>
          <w:bCs/>
          <w:sz w:val="22"/>
          <w:szCs w:val="22"/>
        </w:rPr>
      </w:pPr>
      <w:r>
        <w:rPr>
          <w:b/>
          <w:bCs/>
          <w:sz w:val="22"/>
          <w:szCs w:val="22"/>
        </w:rPr>
      </w:r>
    </w:p>
    <w:p>
      <w:pPr>
        <w:pStyle w:val="Normal"/>
        <w:rPr>
          <w:b/>
          <w:bCs/>
          <w:sz w:val="22"/>
          <w:szCs w:val="22"/>
        </w:rPr>
      </w:pPr>
      <w:r>
        <w:rPr>
          <w:b/>
          <w:bCs/>
          <w:sz w:val="22"/>
          <w:szCs w:val="22"/>
        </w:rPr>
      </w:r>
    </w:p>
    <w:p>
      <w:pPr>
        <w:pStyle w:val="Normal"/>
        <w:spacing w:lineRule="auto" w:line="480"/>
        <w:rPr>
          <w:b/>
          <w:bCs/>
          <w:sz w:val="22"/>
          <w:szCs w:val="22"/>
        </w:rPr>
      </w:pPr>
      <w:r>
        <w:rPr>
          <w:b/>
          <w:bCs/>
          <w:sz w:val="22"/>
          <w:szCs w:val="22"/>
        </w:rPr>
      </w:r>
      <w:r>
        <w:br w:type="page"/>
      </w:r>
    </w:p>
    <w:p>
      <w:pPr>
        <w:pStyle w:val="Normal"/>
        <w:tabs>
          <w:tab w:val="clear" w:pos="720"/>
          <w:tab w:val="left" w:pos="3600" w:leader="none"/>
        </w:tabs>
        <w:rPr/>
      </w:pPr>
      <w:r>
        <w:rPr/>
        <w:t>STATE OF TEXAS</w:t>
        <w:tab/>
        <w:t>)</w:t>
      </w:r>
    </w:p>
    <w:p>
      <w:pPr>
        <w:pStyle w:val="Normal"/>
        <w:tabs>
          <w:tab w:val="clear" w:pos="720"/>
          <w:tab w:val="left" w:pos="3600" w:leader="none"/>
          <w:tab w:val="center" w:pos="6480" w:leader="none"/>
        </w:tabs>
        <w:rPr/>
      </w:pPr>
      <w:r>
        <w:rPr/>
        <w:tab/>
        <w:t>)</w:t>
        <w:tab/>
      </w:r>
      <w:r>
        <w:rPr>
          <w:u w:val="single"/>
        </w:rPr>
        <w:t>V E R I F I C A T I O N</w:t>
      </w:r>
    </w:p>
    <w:p>
      <w:pPr>
        <w:pStyle w:val="Normal"/>
        <w:tabs>
          <w:tab w:val="clear" w:pos="720"/>
          <w:tab w:val="left" w:pos="3600" w:leader="none"/>
        </w:tabs>
        <w:rPr/>
      </w:pPr>
      <w:r>
        <w:rPr/>
        <w:t>COUNTY OF HARRIS</w:t>
        <w:tab/>
        <w:t>)</w:t>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1440" w:leader="none"/>
        </w:tabs>
        <w:spacing w:lineRule="auto" w:line="480" w:before="240" w:after="0"/>
        <w:rPr/>
      </w:pPr>
      <w:r>
        <w:rPr/>
        <w:tab/>
        <w:t>Jeffrey M. Keenan, Project Manager for Enron North America Corp., verifies that he has read the foregoing APPLICATION FOR CERTIFICATE OF PUBLIC CONVENIENCE AND NECESSITY and knows the contents thereof; that the same is true of his own knowledge, except as to those matters therein alleged upon information and belief, and as to those matters, he believes them to be true.</w:t>
      </w:r>
    </w:p>
    <w:p>
      <w:pPr>
        <w:pStyle w:val="Normal"/>
        <w:tabs>
          <w:tab w:val="clear" w:pos="720"/>
          <w:tab w:val="left" w:pos="1440" w:leader="none"/>
        </w:tabs>
        <w:spacing w:lineRule="auto" w:line="360" w:before="240" w:after="0"/>
        <w:rPr/>
      </w:pPr>
      <w:r>
        <w:rPr/>
      </w:r>
    </w:p>
    <w:p>
      <w:pPr>
        <w:pStyle w:val="Normal"/>
        <w:pBdr>
          <w:bottom w:val="single" w:sz="6" w:space="1" w:color="000000"/>
        </w:pBdr>
        <w:spacing w:before="240" w:after="0"/>
        <w:ind w:start="4320" w:end="0"/>
        <w:rPr/>
      </w:pPr>
      <w:r>
        <w:rPr/>
      </w:r>
    </w:p>
    <w:p>
      <w:pPr>
        <w:pStyle w:val="Normal"/>
        <w:tabs>
          <w:tab w:val="clear" w:pos="720"/>
          <w:tab w:val="left" w:pos="1620" w:leader="none"/>
        </w:tabs>
        <w:ind w:start="4320" w:end="0"/>
        <w:rPr/>
      </w:pPr>
      <w:r>
        <w:rPr/>
        <w:t>Jeffrey M. Keenan</w:t>
      </w:r>
    </w:p>
    <w:p>
      <w:pPr>
        <w:pStyle w:val="Normal"/>
        <w:ind w:start="4320" w:end="0"/>
        <w:rPr/>
      </w:pPr>
      <w:r>
        <w:rPr/>
      </w:r>
    </w:p>
    <w:p>
      <w:pPr>
        <w:pStyle w:val="Normal"/>
        <w:ind w:start="4320" w:end="0"/>
        <w:rPr/>
      </w:pPr>
      <w:r>
        <w:rPr/>
      </w:r>
    </w:p>
    <w:p>
      <w:pPr>
        <w:pStyle w:val="Normal"/>
        <w:ind w:start="4320" w:end="0"/>
        <w:rPr/>
      </w:pPr>
      <w:r>
        <w:rPr/>
      </w:r>
    </w:p>
    <w:p>
      <w:pPr>
        <w:pStyle w:val="Normal"/>
        <w:spacing w:before="240" w:after="0"/>
        <w:rPr/>
      </w:pPr>
      <w:r>
        <w:rPr/>
        <w:t>SWORN TO AND SUBSCRIBED</w:t>
      </w:r>
    </w:p>
    <w:p>
      <w:pPr>
        <w:pStyle w:val="Normal"/>
        <w:rPr/>
      </w:pPr>
      <w:r>
        <w:rPr/>
        <w:t>before me this _____ day of</w:t>
      </w:r>
    </w:p>
    <w:p>
      <w:pPr>
        <w:pStyle w:val="Normal"/>
        <w:rPr/>
      </w:pPr>
      <w:r>
        <w:rPr/>
        <w:t>________________, 2000.</w:t>
      </w:r>
    </w:p>
    <w:p>
      <w:pPr>
        <w:pStyle w:val="Normal"/>
        <w:tabs>
          <w:tab w:val="clear" w:pos="720"/>
          <w:tab w:val="center" w:pos="1440" w:leader="none"/>
        </w:tabs>
        <w:rPr/>
      </w:pPr>
      <w:r>
        <w:rPr/>
      </w:r>
    </w:p>
    <w:p>
      <w:pPr>
        <w:pStyle w:val="Normal"/>
        <w:rPr/>
      </w:pPr>
      <w:r>
        <w:rPr/>
        <w:t>_____________________________</w:t>
      </w:r>
    </w:p>
    <w:p>
      <w:pPr>
        <w:pStyle w:val="Normal"/>
        <w:tabs>
          <w:tab w:val="clear" w:pos="720"/>
          <w:tab w:val="center" w:pos="1710" w:leader="none"/>
        </w:tabs>
        <w:rPr/>
      </w:pPr>
      <w:r>
        <w:rPr/>
        <w:tab/>
        <w:t>Notary Public</w:t>
      </w:r>
    </w:p>
    <w:p>
      <w:pPr>
        <w:pStyle w:val="Normal"/>
        <w:tabs>
          <w:tab w:val="clear" w:pos="720"/>
          <w:tab w:val="center" w:pos="1710" w:leader="none"/>
        </w:tabs>
        <w:spacing w:before="240" w:after="0"/>
        <w:rPr/>
      </w:pPr>
      <w:r>
        <w:rPr/>
        <w:t>My Commission Expires:</w:t>
      </w:r>
    </w:p>
    <w:p>
      <w:pPr>
        <w:pStyle w:val="Normal"/>
        <w:spacing w:before="240" w:after="0"/>
        <w:rPr/>
      </w:pPr>
      <w:r>
        <w:rPr/>
        <w:t>_____________________________</w: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r>
        <w:br w:type="page"/>
      </w:r>
    </w:p>
    <w:p>
      <w:pPr>
        <w:pStyle w:val="Normal"/>
        <w:rPr>
          <w:sz w:val="17"/>
          <w:szCs w:val="17"/>
        </w:rPr>
      </w:pPr>
      <w:bookmarkStart w:id="0" w:name="DocID1"/>
      <w:r>
        <w:rPr>
          <w:sz w:val="17"/>
          <w:szCs w:val="17"/>
        </w:rPr>
        <w:t>RALLIB01:559799.0</w:t>
      </w:r>
      <w:bookmarkEnd w:id="0"/>
      <w:r>
        <w:rPr>
          <w:sz w:val="17"/>
          <w:szCs w:val="17"/>
        </w:rPr>
        <w:t>5</w:t>
      </w:r>
    </w:p>
    <w:p>
      <w:pPr>
        <w:pStyle w:val="Normal"/>
        <w:jc w:val="both"/>
        <w:rPr/>
      </w:pPr>
      <w:r>
        <w:rPr/>
      </w:r>
    </w:p>
    <w:sectPr>
      <w:footerReference w:type="default" r:id="rId2"/>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New Roman Bold">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8750" cy="180340"/>
              <wp:effectExtent l="0" t="0" r="0" b="0"/>
              <wp:wrapSquare wrapText="bothSides"/>
              <wp:docPr id="1" name="Frame1"/>
              <a:graphic xmlns:a="http://schemas.openxmlformats.org/drawingml/2006/main">
                <a:graphicData uri="http://schemas.microsoft.com/office/word/2010/wordprocessingShape">
                  <wps:wsp>
                    <wps:cNvSpPr txBox="1"/>
                    <wps:spPr>
                      <a:xfrm>
                        <a:off x="0" y="0"/>
                        <a:ext cx="158750" cy="1803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5pt;height:14.2pt;mso-wrap-distance-left:0pt;mso-wrap-distance-right:0pt;mso-wrap-distance-top:0pt;mso-wrap-distance-bottom:0pt;margin-top:0.05pt;mso-position-vertical-relative:text;margin-left:227.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89"/>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5"/>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C:\MSOFFICE\WINWORD\TEMPLATE\USER\NORMAL.DOT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2000-07-10T07:52:00Z</dcterms:created>
  <dc:creator>ADUNCAN</dc:creator>
  <dc:description>
Enron CPCN Application</dc:description>
  <dc:language>en-CA</dc:language>
  <cp:lastModifiedBy>ADUNCAN</cp:lastModifiedBy>
  <cp:lastPrinted>2000-07-10T09:44:00Z</cp:lastPrinted>
  <dcterms:modified xsi:type="dcterms:W3CDTF">2000-07-10T09:51:00Z</dcterms:modified>
  <cp:revision>6</cp:revision>
  <dc:subject/>
  <dc:title>DOCKET NO. </dc:title>
</cp:coreProperties>
</file>