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Ms. Geneva S. Thigpen</w:t>
      </w:r>
    </w:p>
    <w:p>
      <w:pPr>
        <w:pStyle w:val="Normal"/>
        <w:rPr/>
      </w:pPr>
      <w:r>
        <w:rPr/>
        <w:t>Chief Clerk</w:t>
      </w:r>
    </w:p>
    <w:p>
      <w:pPr>
        <w:pStyle w:val="Normal"/>
        <w:rPr/>
      </w:pPr>
      <w:r>
        <w:rPr/>
        <w:t>North Carolina Utilities Commission</w:t>
      </w:r>
    </w:p>
    <w:p>
      <w:pPr>
        <w:pStyle w:val="Normal"/>
        <w:rPr/>
      </w:pPr>
      <w:r>
        <w:rPr/>
        <w:t>430 N. Salisbury Street</w:t>
      </w:r>
    </w:p>
    <w:p>
      <w:pPr>
        <w:pStyle w:val="Normal"/>
        <w:rPr/>
      </w:pPr>
      <w:r>
        <w:rPr/>
        <w:t>Dobbs Building</w:t>
      </w:r>
    </w:p>
    <w:p>
      <w:pPr>
        <w:pStyle w:val="Normal"/>
        <w:rPr/>
      </w:pPr>
      <w:r>
        <w:rPr/>
        <w:t>Raleigh, North Carolina  27603</w:t>
      </w:r>
    </w:p>
    <w:p>
      <w:pPr>
        <w:pStyle w:val="Normal"/>
        <w:rPr/>
      </w:pPr>
      <w:r>
        <w:rPr/>
      </w:r>
    </w:p>
    <w:p>
      <w:pPr>
        <w:pStyle w:val="Normal"/>
        <w:rPr/>
      </w:pPr>
      <w:r>
        <w:rPr/>
        <w:tab/>
        <w:tab/>
        <w:tab/>
        <w:tab/>
        <w:tab/>
        <w:tab/>
        <w:tab/>
        <w:t>Re:</w:t>
        <w:tab/>
        <w:t>Statement of Need for</w:t>
        <w:tab/>
        <w:tab/>
        <w:tab/>
        <w:tab/>
        <w:tab/>
        <w:tab/>
        <w:tab/>
        <w:tab/>
        <w:tab/>
        <w:tab/>
        <w:t>Generating Facility</w:t>
      </w:r>
    </w:p>
    <w:p>
      <w:pPr>
        <w:pStyle w:val="Normal"/>
        <w:rPr/>
      </w:pPr>
      <w:r>
        <w:rPr/>
      </w:r>
    </w:p>
    <w:p>
      <w:pPr>
        <w:pStyle w:val="Normal"/>
        <w:rPr/>
      </w:pPr>
      <w:r>
        <w:rPr/>
        <w:t>Dear Ms. Thigpen:</w:t>
      </w:r>
    </w:p>
    <w:p>
      <w:pPr>
        <w:pStyle w:val="Normal"/>
        <w:rPr/>
      </w:pPr>
      <w:r>
        <w:rPr/>
      </w:r>
    </w:p>
    <w:p>
      <w:pPr>
        <w:pStyle w:val="Normal"/>
        <w:jc w:val="both"/>
        <w:rPr/>
      </w:pPr>
      <w:r>
        <w:rPr/>
        <w:tab/>
        <w:t xml:space="preserve">North Carolina General Statutes § 62-110.1 and North Carolina Utilities Commission (the “Commission”) Rule R8-61 set forth the requirements governing applications for Certificates of Public Convenience and Necessity to construct generating facilities in North Carolina.  Commission Rule R8-61 requires, among other things, a “. . .statement of the need for the facility including information on loads and generating capability;”  R8-61(a)(2). As Manager--Capacity Acquisitions for Virginia Electric and Power Company (“VEPCO”), I am writing to identify VEPCO’s need for the generating facility Enron North America (“ENA”) proposes to build.  </w:t>
      </w:r>
    </w:p>
    <w:p>
      <w:pPr>
        <w:pStyle w:val="Normal"/>
        <w:rPr/>
      </w:pPr>
      <w:r>
        <w:rPr/>
      </w:r>
    </w:p>
    <w:p>
      <w:pPr>
        <w:pStyle w:val="Normal"/>
        <w:jc w:val="both"/>
        <w:rPr/>
      </w:pPr>
      <w:r>
        <w:rPr/>
        <w:tab/>
        <w:t>VEPCO and ENA are currently in negotiations to develop a Purchase Power Agreement (PPA)  governing the relationship between them with respect to the proposed project.  The PPA will be submitted to the Commission immediately  upon execution.  Because of the urgency of VEPCO’s capacity requirements, as described more fully below, the purpose of this letter is to respond to the need requirement of the Rule, and allow the process to go forward while the final negotiations are completed.</w:t>
      </w:r>
    </w:p>
    <w:p>
      <w:pPr>
        <w:pStyle w:val="Normal"/>
        <w:jc w:val="both"/>
        <w:rPr/>
      </w:pPr>
      <w:r>
        <w:rPr/>
      </w:r>
    </w:p>
    <w:p>
      <w:pPr>
        <w:pStyle w:val="Normal"/>
        <w:jc w:val="both"/>
        <w:rPr/>
      </w:pPr>
      <w:r>
        <w:rPr/>
        <w:tab/>
        <w:t>As the Commission is aware from its review of the most recent VEPCO (d/b/a North Carolina Power) Annual Report of its Resource Plan (Docket No. E-100, Sub 84, filed September 2, 1999), VEPCO has conducted an internal review of its reserve planning criteria and determined that a reserve margin of 12.5% is appropriate.  However, as its ten-year forecast shows, VEPCO’s reserves range from approximately 9.4% to 11.1% for the 2000-09 period.  In response to VEPCO’s filing, the North Carolina Utilities Commission - Public Staff recommended that VEPCO address both the adequacy of its 12.5% target, and the fact that its reserve margins to not meet that target.</w:t>
      </w:r>
    </w:p>
    <w:p>
      <w:pPr>
        <w:pStyle w:val="Normal"/>
        <w:jc w:val="both"/>
        <w:rPr/>
      </w:pPr>
      <w:r>
        <w:rPr/>
      </w:r>
    </w:p>
    <w:p>
      <w:pPr>
        <w:pStyle w:val="Normal"/>
        <w:jc w:val="both"/>
        <w:rPr/>
      </w:pPr>
      <w:r>
        <w:rPr/>
        <w:tab/>
        <w:t>The Commission, however, noted that after VEPCO filed its resource plan, it issued a Request for Proposals (“RFP”) with an all-source bid, with preference toward peaking capacity.  The Commission recognized that VEPCO would evaluate the responses to the RFP in deciding upon the best option for obtaining the capacity needed to meet the 12.5% target reserve margin level.  The proposed agreement with ENA is a result of that RFP.</w:t>
      </w:r>
    </w:p>
    <w:p>
      <w:pPr>
        <w:pStyle w:val="Normal"/>
        <w:jc w:val="both"/>
        <w:rPr/>
      </w:pPr>
      <w:r>
        <w:rPr/>
      </w:r>
    </w:p>
    <w:p>
      <w:pPr>
        <w:pStyle w:val="Normal"/>
        <w:jc w:val="both"/>
        <w:rPr/>
      </w:pPr>
      <w:r>
        <w:rPr/>
        <w:tab/>
        <w:t xml:space="preserve">The terms under consideration involve the development, construction and operation of a 188 MW simple-cycle, dual-fueled combustion turbine generation plant within VEPCO’s service territory.  The parties contemplate an agreement with an initial term of June 1, 2001 through December 31, 2004, and anticipate that the facility will become commercially operable on or before June 1, 2001.  </w:t>
      </w:r>
    </w:p>
    <w:p>
      <w:pPr>
        <w:pStyle w:val="Normal"/>
        <w:jc w:val="both"/>
        <w:rPr/>
      </w:pPr>
      <w:r>
        <w:rPr/>
      </w:r>
    </w:p>
    <w:p>
      <w:pPr>
        <w:pStyle w:val="Normal"/>
        <w:jc w:val="both"/>
        <w:rPr/>
      </w:pPr>
      <w:r>
        <w:rPr/>
        <w:tab/>
        <w:t>Because of the need as demonstrated in its Annual Report, VEPCO respectfully requests that the Commission proceed expeditiously in the consideration of this application.  Charts showing both Summer and Winter Generating Capability, Peak Loads, Reserve Margins and Energy Forecasts based on VEPCO’s 1999 Resource Plan are included as Attachment A.</w:t>
      </w:r>
    </w:p>
    <w:p>
      <w:pPr>
        <w:pStyle w:val="Normal"/>
        <w:jc w:val="both"/>
        <w:rPr/>
      </w:pPr>
      <w:r>
        <w:rPr/>
      </w:r>
    </w:p>
    <w:p>
      <w:pPr>
        <w:pStyle w:val="Normal"/>
        <w:jc w:val="both"/>
        <w:rPr/>
      </w:pPr>
      <w:r>
        <w:rPr/>
        <w:tab/>
        <w:t>Please feel free to contact me if you need additional information</w:t>
      </w:r>
    </w:p>
    <w:p>
      <w:pPr>
        <w:pStyle w:val="Normal"/>
        <w:jc w:val="both"/>
        <w:rPr/>
      </w:pPr>
      <w:r>
        <w:rPr/>
        <w:tab/>
        <w:tab/>
      </w:r>
    </w:p>
    <w:p>
      <w:pPr>
        <w:pStyle w:val="Normal"/>
        <w:jc w:val="both"/>
        <w:rPr/>
      </w:pPr>
      <w:r>
        <w:rPr/>
        <w:tab/>
        <w:tab/>
        <w:tab/>
        <w:tab/>
        <w:tab/>
        <w:tab/>
        <w:t>Sincerely,</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ab/>
        <w:tab/>
        <w:tab/>
        <w:tab/>
        <w:tab/>
        <w:tab/>
        <w:t>Gary L. Edwards</w:t>
      </w:r>
    </w:p>
    <w:p>
      <w:pPr>
        <w:pStyle w:val="Normal"/>
        <w:jc w:val="both"/>
        <w:rPr/>
      </w:pPr>
      <w:r>
        <w:rPr/>
        <w:tab/>
        <w:tab/>
        <w:tab/>
        <w:tab/>
        <w:tab/>
        <w:tab/>
        <w:t>Manager - Capacity Acquisition</w:t>
      </w:r>
    </w:p>
    <w:p>
      <w:pPr>
        <w:pStyle w:val="Normal"/>
        <w:jc w:val="both"/>
        <w:rPr/>
      </w:pPr>
      <w:r>
        <w:rPr/>
        <w:tab/>
        <w:tab/>
        <w:tab/>
        <w:tab/>
        <w:tab/>
        <w:tab/>
        <w:t>Virginia Power</w:t>
      </w:r>
    </w:p>
    <w:p>
      <w:pPr>
        <w:pStyle w:val="Normal"/>
        <w:jc w:val="both"/>
        <w:rPr/>
      </w:pPr>
      <w:r>
        <w:rPr/>
        <w:tab/>
        <w:tab/>
        <w:tab/>
        <w:tab/>
        <w:tab/>
        <w:tab/>
      </w:r>
    </w:p>
    <w:p>
      <w:pPr>
        <w:pStyle w:val="Normal"/>
        <w:rPr>
          <w:sz w:val="17"/>
          <w:szCs w:val="17"/>
        </w:rPr>
      </w:pPr>
      <w:bookmarkStart w:id="0" w:name="DocID1"/>
      <w:r>
        <w:rPr>
          <w:sz w:val="17"/>
          <w:szCs w:val="17"/>
        </w:rPr>
        <w:t xml:space="preserve">RALLIB01:559767.01  </w:t>
      </w:r>
      <w:bookmarkEnd w:id="0"/>
    </w:p>
    <w:p>
      <w:pPr>
        <w:pStyle w:val="Normal"/>
        <w:jc w:val="both"/>
        <w:rPr/>
      </w:pPr>
      <w:r>
        <w:rPr/>
      </w:r>
    </w:p>
    <w:sectPr>
      <w:type w:val="nextPage"/>
      <w:pgSz w:w="12240" w:h="15840"/>
      <w:pgMar w:left="1440" w:right="144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89"/>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5"/>
      <w:szCs w:val="25"/>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C:\MSOFFICE\WINWORD\TEMPLATE\USER\NORMAL.DOT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2000-07-03T10:17:00Z</dcterms:created>
  <dc:creator>ADUNCAN</dc:creator>
  <dc:description>
Enron Statement of Need</dc:description>
  <dc:language>en-CA</dc:language>
  <cp:lastModifiedBy>ADUNCAN</cp:lastModifiedBy>
  <dcterms:modified xsi:type="dcterms:W3CDTF">2000-07-03T10:17:00Z</dcterms:modified>
  <cp:revision>1</cp:revision>
  <dc:subject/>
  <dc:title>Ms. Geneva S. Thigpen</dc:title>
</cp:coreProperties>
</file>