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Comic Sans MS" w:hAnsi="Comic Sans MS" w:cs="Comic Sans MS"/>
          <w:color w:val="000000"/>
          <w:sz w:val="20"/>
          <w:szCs w:val="20"/>
        </w:rPr>
      </w:pPr>
      <w:r>
        <w:rPr>
          <w:rFonts w:cs="Comic Sans MS" w:ascii="Comic Sans MS" w:hAnsi="Comic Sans MS"/>
          <w:color w:val="000000"/>
          <w:sz w:val="20"/>
          <w:szCs w:val="20"/>
        </w:rPr>
        <w:t>H-1B Visa Holders!!!</w:t>
      </w:r>
    </w:p>
    <w:p>
      <w:pPr>
        <w:pStyle w:val="Normal"/>
        <w:autoSpaceDE w:val="false"/>
        <w:rPr>
          <w:rFonts w:ascii="Comic Sans MS" w:hAnsi="Comic Sans MS" w:cs="Comic Sans MS"/>
          <w:color w:val="000000"/>
          <w:sz w:val="20"/>
          <w:szCs w:val="20"/>
        </w:rPr>
      </w:pPr>
      <w:r>
        <w:rPr>
          <w:rFonts w:cs="Comic Sans MS" w:ascii="Comic Sans MS" w:hAnsi="Comic Sans MS"/>
          <w:color w:val="000000"/>
          <w:sz w:val="20"/>
          <w:szCs w:val="20"/>
        </w:rPr>
      </w:r>
    </w:p>
    <w:p>
      <w:pPr>
        <w:pStyle w:val="Normal"/>
        <w:rPr>
          <w:b/>
          <w:bCs/>
          <w:sz w:val="20"/>
          <w:szCs w:val="20"/>
        </w:rPr>
      </w:pPr>
      <w:r>
        <w:rPr>
          <w:rFonts w:cs="Comic Sans MS" w:ascii="Comic Sans MS" w:hAnsi="Comic Sans MS"/>
          <w:color w:val="000000"/>
          <w:sz w:val="20"/>
          <w:szCs w:val="20"/>
        </w:rPr>
        <w:t>America still needs you! If you are currently an H-1B nonimmigrant in the U.S., and you are not in violation of your status (such as by beginning work for a different employer), then you may be able to take advantage of a new “portability” provision in the 2000 amendments to the Immigration &amp; Nationality Act. Under this new provision a new prospective employer can file an amended H-1B petition which then allows you to begin working with the new employer.</w:t>
      </w:r>
    </w:p>
    <w:p>
      <w:pPr>
        <w:pStyle w:val="Normal"/>
        <w:rPr>
          <w:b/>
          <w:bCs/>
          <w:sz w:val="20"/>
          <w:szCs w:val="20"/>
        </w:rPr>
      </w:pPr>
      <w:r>
        <w:rPr>
          <w:b/>
          <w:bCs/>
          <w:sz w:val="20"/>
          <w:szCs w:val="20"/>
        </w:rPr>
      </w:r>
    </w:p>
    <w:p>
      <w:pPr>
        <w:pStyle w:val="Normal"/>
        <w:numPr>
          <w:ilvl w:val="0"/>
          <w:numId w:val="2"/>
        </w:numPr>
        <w:spacing w:before="0" w:after="280"/>
        <w:rPr/>
      </w:pPr>
      <w:r>
        <w:rPr>
          <w:sz w:val="20"/>
          <w:szCs w:val="20"/>
        </w:rPr>
        <w:t>The employer must agree to pay transportation cost if the employer terminates employment prior to the end of the authorized employment.</w:t>
      </w:r>
      <w:r>
        <w:rPr/>
        <w:t xml:space="preserve"> </w:t>
      </w:r>
    </w:p>
    <w:p>
      <w:pPr>
        <w:pStyle w:val="Normal"/>
        <w:spacing w:before="280" w:after="280"/>
        <w:ind w:start="360" w:end="0"/>
        <w:rPr/>
      </w:pPr>
      <w:r>
        <w:rPr/>
        <w:t xml:space="preserve">This meams: </w:t>
      </w:r>
      <w:r>
        <w:rPr>
          <w:color w:val="FF0000"/>
          <w:sz w:val="20"/>
          <w:szCs w:val="20"/>
        </w:rPr>
        <w:t>Enron employees who are going back to their mother countries should require ENRON to pay for repatriation fees</w:t>
      </w:r>
      <w:r>
        <w:rPr/>
        <w:t xml:space="preserve">  </w:t>
      </w:r>
    </w:p>
    <w:p>
      <w:pPr>
        <w:pStyle w:val="Heading2"/>
        <w:ind w:hanging="0" w:start="0"/>
        <w:jc w:val="center"/>
        <w:rPr/>
      </w:pPr>
      <w:r>
        <w:rPr/>
        <w:t xml:space="preserve">H-1B Provisions </w:t>
        <w:br/>
        <w:t xml:space="preserve">From Visa Waiver Law </w:t>
      </w:r>
    </w:p>
    <w:p>
      <w:pPr>
        <w:pStyle w:val="Heading3"/>
        <w:ind w:hanging="0" w:start="0"/>
        <w:rPr/>
      </w:pPr>
      <w:r>
        <w:rPr/>
        <w:t>SEC. 401. AMENDMENT TO SECTION 214 OF THE IMMIGRATION AND NATIONALITY ACT.</w:t>
      </w:r>
    </w:p>
    <w:p>
      <w:pPr>
        <w:pStyle w:val="Normal"/>
        <w:ind w:start="720" w:end="0"/>
        <w:rPr/>
      </w:pPr>
      <w:r>
        <w:rPr/>
        <w:t>Section 214(c) of the Immigration and Nationality Act (8 U.S.C. 1184(c)) is amended by adding the following new paragraph:</w:t>
      </w:r>
    </w:p>
    <w:p>
      <w:pPr>
        <w:pStyle w:val="Normal"/>
        <w:ind w:start="1440" w:end="0"/>
        <w:rPr/>
      </w:pPr>
      <w:r>
        <w:rPr/>
        <w:t>`(10) An amended H-1B petition shall not be required where the petitioning employer is involved in a corporate restructuring, including but not limited to a merger, acquisition, or consolidation, where a new corporate entity succeeds to the interests and obligations of the original petitioning employer and where the terms and conditions of employment remain the same but for the identity of the petitioner.'.</w:t>
      </w:r>
    </w:p>
    <w:p>
      <w:pPr>
        <w:pStyle w:val="Normal"/>
        <w:ind w:start="1440" w:end="0"/>
        <w:rPr/>
      </w:pPr>
      <w:r>
        <w:rPr/>
      </w:r>
    </w:p>
    <w:p>
      <w:pPr>
        <w:pStyle w:val="Normal"/>
        <w:ind w:start="1440" w:end="0"/>
        <w:rPr/>
      </w:pPr>
      <w:r>
        <w:rPr/>
      </w:r>
    </w:p>
    <w:p>
      <w:pPr>
        <w:pStyle w:val="Normal"/>
        <w:ind w:start="1440" w:end="0"/>
        <w:rPr/>
      </w:pPr>
      <w:r>
        <w:rPr>
          <w:b/>
          <w:bCs/>
        </w:rPr>
        <w:t xml:space="preserve">Is any provision made for continuity of H-1B validity in corporate restructuring situations? </w:t>
      </w:r>
      <w:r>
        <w:rPr/>
        <w:br/>
        <w:br/>
        <w:t xml:space="preserve">Yes. A separate measure, the Visa Waiver Permanent Program Act, included a provision that an amended H-1B petition is not required where a new corporate entity succeeds to the interests and obligations of the original employer, and where the terms and conditions of employment remain the same. Note that, as of this writing, the President has not yet signed this measure, but he is expected to do so. </w:t>
        <w:br/>
        <w:br/>
      </w:r>
      <w:r>
        <w:rPr>
          <w:b/>
          <w:bCs/>
        </w:rPr>
        <w:t>How would an employer under the section 105 portability provisions fulfill the I-9 verification requirement?</w:t>
      </w:r>
      <w:r>
        <w:rPr/>
        <w:t xml:space="preserve"> </w:t>
        <w:br/>
        <w:br/>
        <w:t xml:space="preserve">The situation here is analogous to the 240-day grace period of 8 C.F.R. section 274A.12(b)(20), which authorizes employment with the same employer for up to 240 days after an extension petition is filed. In both circumstances, the employment is authorized but there is no provision on the I-9 form for the documentation of this fact. Thus, employers may want to follow whatever documentation procedures they use for the 240-day grace period. </w:t>
        <w:br/>
        <w:br/>
      </w:r>
      <w:r>
        <w:rPr>
          <w:b/>
          <w:bCs/>
        </w:rPr>
        <w:t xml:space="preserve">Will the ACWIA attestations for dependent employers apply? </w:t>
      </w:r>
      <w:r>
        <w:rPr/>
        <w:br/>
        <w:br/>
        <w:t>Yes, as soon as the Department of Labor issues the regulations that will trigger the application of those provisions. AC21 extends the dependent attestation provisions until October 1, 2003, thus providing the DOL some time to avoid having the provisions sunset before they ever take effect. The provisions were originally slated to sunset on October 1, 2001.</w:t>
      </w:r>
    </w:p>
    <w:p>
      <w:pPr>
        <w:pStyle w:val="Normal"/>
        <w:ind w:start="1440" w:end="0"/>
        <w:rPr/>
      </w:pPr>
      <w:r>
        <w:rPr/>
      </w:r>
    </w:p>
    <w:p>
      <w:pPr>
        <w:pStyle w:val="Normal"/>
        <w:spacing w:before="0" w:after="240"/>
        <w:ind w:start="720" w:end="0"/>
        <w:rPr>
          <w:b/>
          <w:bCs/>
        </w:rPr>
      </w:pPr>
      <w:r>
        <w:rPr>
          <w:b/>
          <w:bCs/>
        </w:rPr>
        <w:t>My company is laying off workers and I feel that I may be laid off soon, what should I do?</w:t>
      </w:r>
    </w:p>
    <w:p>
      <w:pPr>
        <w:pStyle w:val="Normal"/>
        <w:ind w:start="1440" w:end="0"/>
        <w:rPr/>
      </w:pPr>
      <w:r>
        <w:rPr/>
        <w:t>The INS considers H-1B Visa holders to be out of status once their employment ends, unless the H-1B holder has filed a petition to transfer their visa to another company or another type of visa (example: F-1 Student Visa, B-2 Tourist Visa, etc.). There have been rumors that the H-1B holder has 10 days or 30 days after they are laid off to file a transfer petition. This is not true, however the INS has stated they are taking into account the current economic slowdown into account when adjudicating H-1B Transfers.</w:t>
      </w:r>
    </w:p>
    <w:p>
      <w:pPr>
        <w:pStyle w:val="Normal"/>
        <w:ind w:start="1440" w:end="0"/>
        <w:rPr/>
      </w:pPr>
      <w:r>
        <w:rPr/>
      </w:r>
    </w:p>
    <w:p>
      <w:pPr>
        <w:pStyle w:val="Normal"/>
        <w:spacing w:before="0" w:after="240"/>
        <w:ind w:start="720" w:end="0"/>
        <w:rPr>
          <w:b/>
          <w:bCs/>
        </w:rPr>
      </w:pPr>
      <w:r>
        <w:rPr>
          <w:b/>
          <w:bCs/>
        </w:rPr>
        <w:t>I currently hold an H-1B visa with company A. Company B wants to hire me. What do I do?</w:t>
      </w:r>
    </w:p>
    <w:p>
      <w:pPr>
        <w:pStyle w:val="Normal"/>
        <w:ind w:start="1440" w:end="0"/>
        <w:rPr/>
      </w:pPr>
      <w:r>
        <w:rPr/>
        <w:t xml:space="preserve">Company B must file a petition to transfer your H-1B visa to their company. You may work for Company B immediately after the petition is filed with the INS. This change can be found in Section 105 of the </w:t>
      </w:r>
      <w:hyperlink r:id="rId2">
        <w:r>
          <w:rPr>
            <w:rStyle w:val="Hyperlink"/>
          </w:rPr>
          <w:t>American Competitiveness in the Twenty-First Century Act.</w:t>
        </w:r>
      </w:hyperlink>
      <w:r>
        <w:rPr/>
        <w:t xml:space="preserve"> This new provision took effect 10/17/2000.</w:t>
      </w:r>
    </w:p>
    <w:p>
      <w:pPr>
        <w:pStyle w:val="Normal"/>
        <w:ind w:start="1440" w:end="0"/>
        <w:rPr/>
      </w:pPr>
      <w:r>
        <w:rPr/>
      </w:r>
    </w:p>
    <w:p>
      <w:pPr>
        <w:pStyle w:val="Heading3"/>
        <w:ind w:hanging="0" w:start="720" w:end="0"/>
        <w:rPr>
          <w:sz w:val="32"/>
        </w:rPr>
      </w:pPr>
      <w:r>
        <w:rPr>
          <w:sz w:val="32"/>
        </w:rPr>
        <w:t>SEC. 105. INCREASED PORTABILITY OF H-1B STATUS.</w:t>
      </w:r>
    </w:p>
    <w:p>
      <w:pPr>
        <w:pStyle w:val="Normal"/>
        <w:spacing w:before="280" w:after="280"/>
        <w:ind w:start="1440" w:end="0"/>
        <w:rPr/>
      </w:pPr>
      <w:r>
        <w:rPr/>
        <w:t>(a) IN GENERAL- Section 214 of the Immigration and Nationality Act (8 U.S.C. 1184) is amended by adding at the end the following new subsection:</w:t>
      </w:r>
    </w:p>
    <w:p>
      <w:pPr>
        <w:pStyle w:val="Normal"/>
        <w:spacing w:before="280" w:after="280"/>
        <w:ind w:start="1440" w:end="0"/>
        <w:rPr/>
      </w:pPr>
      <w:r>
        <w:rPr/>
        <w:t>`(m)(1) A nonimmigrant alien described in paragraph (2) who was previously issued a visa or otherwise provided nonimmigrant status under section 101(a)(15)(H)(i)(b) is authorized to accept new employment upon the filing by the prospective employer of a new petition on behalf of such nonimmigrant as provided under subsection (a). Employment authorization shall continue for such alien until the new petition is adjudicated. If the new petition is denied, such authorization shall cease.</w:t>
      </w:r>
    </w:p>
    <w:p>
      <w:pPr>
        <w:pStyle w:val="Normal"/>
        <w:spacing w:before="280" w:after="280"/>
        <w:ind w:start="1440" w:end="0"/>
        <w:rPr/>
      </w:pPr>
      <w:r>
        <w:rPr/>
        <w:t>`(2) A nonimmigrant alien described in this paragraph is a nonimmigrant alien--</w:t>
      </w:r>
    </w:p>
    <w:p>
      <w:pPr>
        <w:pStyle w:val="Normal"/>
        <w:spacing w:before="280" w:after="280"/>
        <w:ind w:start="2160" w:end="0"/>
        <w:rPr/>
      </w:pPr>
      <w:r>
        <w:rPr/>
        <w:t>`(A) who has been lawfully admitted into the United States;</w:t>
      </w:r>
    </w:p>
    <w:p>
      <w:pPr>
        <w:pStyle w:val="Normal"/>
        <w:spacing w:before="280" w:after="280"/>
        <w:ind w:start="2160" w:end="0"/>
        <w:rPr/>
      </w:pPr>
      <w:r>
        <w:rPr/>
        <w:t>`(B) on whose behalf an employer has filed a nonfrivolous petition for new employment before the date of expiration of the period of stay authorized by the Attorney General; and</w:t>
      </w:r>
    </w:p>
    <w:p>
      <w:pPr>
        <w:pStyle w:val="Normal"/>
        <w:spacing w:before="280" w:after="280"/>
        <w:ind w:start="2160" w:end="0"/>
        <w:rPr/>
      </w:pPr>
      <w:r>
        <w:rPr/>
        <w:t>`(C) who, subsequent to such lawful admission, has not been employed without authorization in the United States before the filing of such petition.'.</w:t>
      </w:r>
    </w:p>
    <w:p>
      <w:pPr>
        <w:pStyle w:val="Normal"/>
        <w:spacing w:before="280" w:after="280"/>
        <w:ind w:start="1440" w:end="0"/>
        <w:rPr/>
      </w:pPr>
      <w:r>
        <w:rPr/>
        <w:t>(b) EFFECTIVE DATE- The amendment made by subsection (a) shall apply to petitions filed before, on, or after the date of enactment of this Act.</w:t>
      </w:r>
    </w:p>
    <w:p>
      <w:pPr>
        <w:pStyle w:val="Normal"/>
        <w:rPr/>
      </w:pPr>
      <w:r>
        <w:rPr>
          <w:rFonts w:cs="Arial" w:ascii="Arial" w:hAnsi="Arial"/>
        </w:rPr>
        <w:t xml:space="preserve">H-1B Visa Attorney Services  : </w:t>
      </w:r>
      <w:hyperlink r:id="rId3">
        <w:r>
          <w:rPr>
            <w:rStyle w:val="Hyperlink"/>
          </w:rPr>
          <w:t>www.usavisanow.com/h1bvisaretainer.html</w:t>
        </w:r>
      </w:hyperlink>
    </w:p>
    <w:p>
      <w:pPr>
        <w:pStyle w:val="Normal"/>
        <w:rPr/>
      </w:pPr>
      <w:r>
        <w:rPr/>
      </w:r>
    </w:p>
    <w:sectPr>
      <w:type w:val="nextPage"/>
      <w:pgSz w:w="12240" w:h="15840"/>
      <w:pgMar w:left="432" w:right="432"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rFonts w:ascii="Arial Unicode MS" w:hAnsi="Arial Unicode MS" w:eastAsia="Arial Unicode MS" w:cs="Arial Unicode MS"/>
      <w:b/>
      <w:bCs/>
      <w:sz w:val="36"/>
      <w:szCs w:val="36"/>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sz w:val="27"/>
      <w:szCs w:val="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savisanow.com/h1bs2045.html" TargetMode="External"/><Relationship Id="rId3" Type="http://schemas.openxmlformats.org/officeDocument/2006/relationships/hyperlink" Target="http://www.usavisanow.com/h1bvisaretainer.htm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2001-11-30T13:32:00Z</dcterms:created>
  <dc:creator>ssaubier</dc:creator>
  <dc:description/>
  <dc:language>en-CA</dc:language>
  <cp:lastModifiedBy>ssaubier</cp:lastModifiedBy>
  <dcterms:modified xsi:type="dcterms:W3CDTF">2001-11-30T14:41:00Z</dcterms:modified>
  <cp:revision>1</cp:revision>
  <dc:subject/>
  <dc:title>H-1B Visa Holders</dc:title>
</cp:coreProperties>
</file>