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mc:AlternateContent>
          <mc:Choice Requires="wps">
            <w:drawing>
              <wp:anchor behindDoc="0" distT="0" distB="0" distL="114935" distR="114935" simplePos="0" locked="0" layoutInCell="1" allowOverlap="1" relativeHeight="3">
                <wp:simplePos x="0" y="0"/>
                <wp:positionH relativeFrom="column">
                  <wp:posOffset>-1280160</wp:posOffset>
                </wp:positionH>
                <wp:positionV relativeFrom="paragraph">
                  <wp:posOffset>-301625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100.8pt;margin-top:-23.75pt;width:7.15pt;height:7.15pt;mso-wrap-style:none;v-text-anchor:middle">
                <v:fill o:detectmouseclick="t" type="solid" color2="black"/>
                <v:stroke color="white" weight="9360" joinstyle="miter" endcap="flat"/>
                <w10:wrap type="none"/>
              </v:rect>
            </w:pict>
          </mc:Fallback>
        </mc:AlternateContent>
      </w:r>
      <w:r>
        <w:rPr/>
        <w:t>H.R. 4541, Commodity Futures Modernization Act of 2000</w:t>
      </w:r>
    </w:p>
    <w:p>
      <w:pPr>
        <w:pStyle w:val="Normal"/>
        <w:jc w:val="center"/>
        <w:rPr/>
      </w:pPr>
      <w:r>
        <w:rPr/>
        <w:t>Energy Group Talking Points</w:t>
      </w:r>
    </w:p>
    <w:p>
      <w:pPr>
        <w:pStyle w:val="Normal"/>
        <w:jc w:val="center"/>
        <w:rPr/>
      </w:pPr>
      <w:r>
        <w:rPr/>
        <w:t>Legal Certainty for Electronic Trading Facilities</w:t>
      </w:r>
    </w:p>
    <w:p>
      <w:pPr>
        <w:pStyle w:val="Normal"/>
        <w:jc w:val="center"/>
        <w:rPr/>
      </w:pPr>
      <w:r>
        <w:rPr/>
        <w:t>In Physical Commodities</w:t>
      </w:r>
    </w:p>
    <w:p>
      <w:pPr>
        <w:pStyle w:val="Normal"/>
        <w:jc w:val="center"/>
        <w:rPr/>
      </w:pPr>
      <w:r>
        <w:rPr/>
      </w:r>
    </w:p>
    <w:p>
      <w:pPr>
        <w:pStyle w:val="Normal"/>
        <w:rPr/>
      </w:pPr>
      <w:r>
        <w:rPr/>
      </w:r>
    </w:p>
    <w:p>
      <w:pPr>
        <w:pStyle w:val="Paragraph"/>
        <w:rPr/>
      </w:pPr>
      <w:r>
        <w:rPr/>
        <w:t xml:space="preserve">All three committees of the House and the Senate Agriculture Committee have agreed that bilateral transactions that do not occur on a trading facility (i.e. not on an exchange) in all physical commodities other than agricultural commodities are exempt from most provisions of the Commodity Exchange Act (“CEA”) as long as the transactions are entered into solely between eligible contract participants (non-retail).  The CFTC only retains antifraud and antimanipulation authority.  This provision providing critical legal certainty for bilateral transactions has the unanimous support of all interested parties.  </w:t>
      </w:r>
    </w:p>
    <w:p>
      <w:pPr>
        <w:pStyle w:val="Normal"/>
        <w:rPr/>
      </w:pPr>
      <w:r>
        <w:rPr/>
      </w:r>
    </w:p>
    <w:p>
      <w:pPr>
        <w:pStyle w:val="Paragraph"/>
        <w:rPr/>
      </w:pPr>
      <w:r>
        <w:rPr/>
        <w:t xml:space="preserve">Similar relief for the same types of transactions between eligible contract participants on electronic trading facilities exists in all three House committee bills.  Recently, the NYMEX and the CFTC, citing high energy prices and limited inventories, have urged Congress to take away this important legal certainty in H.R. 4541 and subject these electronic trading facilities to the burden and uncertainty of full CFTC regulation.  </w:t>
      </w:r>
    </w:p>
    <w:p>
      <w:pPr>
        <w:pStyle w:val="Paragraph"/>
        <w:rPr/>
      </w:pPr>
      <w:r>
        <w:rPr/>
      </w:r>
    </w:p>
    <w:p>
      <w:pPr>
        <w:pStyle w:val="Paragraph"/>
        <w:rPr/>
      </w:pPr>
      <w:r>
        <w:rPr/>
        <w:t>The connection between current energy market prices and electronic trading facility regulation is completely misplaced:</w:t>
      </w:r>
    </w:p>
    <w:p>
      <w:pPr>
        <w:pStyle w:val="Paragraph"/>
        <w:rPr/>
      </w:pPr>
      <w:r>
        <w:rPr/>
      </w:r>
    </w:p>
    <w:p>
      <w:pPr>
        <w:pStyle w:val="BulletParagraph"/>
        <w:numPr>
          <w:ilvl w:val="0"/>
          <w:numId w:val="2"/>
        </w:numPr>
        <w:rPr/>
      </w:pPr>
      <w:r>
        <w:rPr/>
        <w:t>Current high prices are the direct result of economic growth in the face of limited supplies, including OPEC restrictions on production.</w:t>
      </w:r>
    </w:p>
    <w:p>
      <w:pPr>
        <w:pStyle w:val="BulletParagraph"/>
        <w:numPr>
          <w:ilvl w:val="0"/>
          <w:numId w:val="2"/>
        </w:numPr>
        <w:rPr/>
      </w:pPr>
      <w:r>
        <w:rPr/>
        <w:t>Since electronic trading facilities that would be covered by this legislation are only in a start-up phase and represent less than one percent of world and U.S. trading volume, they can hardly be responsible for current conditions.</w:t>
      </w:r>
    </w:p>
    <w:p>
      <w:pPr>
        <w:pStyle w:val="BulletParagraph"/>
        <w:numPr>
          <w:ilvl w:val="0"/>
          <w:numId w:val="2"/>
        </w:numPr>
        <w:rPr/>
      </w:pPr>
      <w:r>
        <w:rPr/>
        <w:t>Current volatility, high prices and stressed inventories exist today when the overwhelmingly dominant market for trading is the NYMEX, which is subject to the entire regulatory scheme of the CFTC.</w:t>
      </w:r>
    </w:p>
    <w:p>
      <w:pPr>
        <w:pStyle w:val="Paragraph"/>
        <w:rPr/>
      </w:pPr>
      <w:r>
        <w:rPr/>
        <w:t>H.R. 4541 provides that, with respect to electronic trading facilities, the CFTC retains antifraud and antimanipulation authority and, in certain circumstances, the authority to require that the facility disseminate trading data. This retained authority should address any public policy concerns that the Congress or the CFTC might have with respect to potential abuses on electronic trading facilities.  In addition, the Justice Department and the FTC can review these facilities.  Indeed, with respect to financial commodity transactions on electronic trading facilities, H.R. 4541 provides a complete exclusion from all elements of CFTC jurisdiction.</w:t>
      </w:r>
    </w:p>
    <w:p>
      <w:pPr>
        <w:pStyle w:val="Paragraph"/>
        <w:rPr/>
      </w:pPr>
      <w:r>
        <w:rPr/>
      </w:r>
    </w:p>
    <w:p>
      <w:pPr>
        <w:pStyle w:val="BulletParagraph"/>
        <w:numPr>
          <w:ilvl w:val="0"/>
          <w:numId w:val="2"/>
        </w:numPr>
        <w:rPr/>
      </w:pPr>
      <w:r>
        <w:rPr/>
        <w:t>Since the legislation will not permit retail participants on electronic trading facilities (or any individuals to participate who have less than $10 million in assets), the retail public protection provisions of the CFTC’s regulation have no applicability.</w:t>
      </w:r>
    </w:p>
    <w:p>
      <w:pPr>
        <w:pStyle w:val="BulletParagraph"/>
        <w:numPr>
          <w:ilvl w:val="0"/>
          <w:numId w:val="2"/>
        </w:numPr>
        <w:rPr/>
      </w:pPr>
      <w:r>
        <w:rPr/>
        <w:t>The CFTC’s regulatory requirements addressing systemic risk have no applicability to the electronic trading facilities provisions of H.R. 4541 which do not address clearing.  If an electronic trading facility includes clearing, the legislation provides that the clearing activity must be subject to federal regulation.</w:t>
      </w:r>
    </w:p>
    <w:p>
      <w:pPr>
        <w:pStyle w:val="Paragraph"/>
        <w:rPr/>
      </w:pPr>
      <w:r>
        <w:rPr/>
        <w:t>The growth of technology has seen the migration to the Internet and other electronic platforms of business previously done over the telephone.  These telephonic transactions, some of which have used voice-brokers as intermediaries, exist today without CFTC regulation.  Migrating these transactions in the business-to-business (B2B) arena to technology platforms is and will continue to occur.  The only question is whether Congress will provide effective legal certainty to allow the platforms to grow here without the risk that they would be operating as illegal “exchanges” unregulated by the CFTC.</w:t>
      </w:r>
    </w:p>
    <w:p>
      <w:pPr>
        <w:pStyle w:val="Paragraph"/>
        <w:rPr/>
      </w:pPr>
      <w:r>
        <w:rPr/>
      </w:r>
    </w:p>
    <w:p>
      <w:pPr>
        <w:pStyle w:val="BulletParagraph"/>
        <w:numPr>
          <w:ilvl w:val="0"/>
          <w:numId w:val="2"/>
        </w:numPr>
        <w:rPr/>
      </w:pPr>
      <w:r>
        <w:rPr/>
        <w:t>Electronic trading facilities are clearly more efficient than the telephone in providing market participants with better prices, enhanced liquidity and more transparency.  Facilities, to be most efficient, need to be able to list all non-agricultural commodities (including energy and metals ), recognizing the integrated risk-management needs of marketplace users.  Regulatory schemes that apply to some commodities and not others on a facility are unworkable.</w:t>
      </w:r>
    </w:p>
    <w:p>
      <w:pPr>
        <w:pStyle w:val="BulletParagraph"/>
        <w:numPr>
          <w:ilvl w:val="0"/>
          <w:numId w:val="2"/>
        </w:numPr>
        <w:rPr/>
      </w:pPr>
      <w:r>
        <w:rPr/>
        <w:t>Electronic trading facilities will allow commercial market participants to efficiently hedge their short and long-term price risk.  Growth of these platforms should help reduce the price volatility that is of concern today, helping companies and consumers.</w:t>
      </w:r>
    </w:p>
    <w:p>
      <w:pPr>
        <w:pStyle w:val="BulletParagraph"/>
        <w:numPr>
          <w:ilvl w:val="0"/>
          <w:numId w:val="2"/>
        </w:numPr>
        <w:rPr/>
      </w:pPr>
      <w:r>
        <w:rPr/>
        <w:t xml:space="preserve">Forcing electronic trading facilities offshore will foreclose many U.S. commercial  companies without offshore affiliates from participating in these efficient markets and from discovering marketplace prices.  </w:t>
      </w:r>
    </w:p>
    <w:p>
      <w:pPr>
        <w:pStyle w:val="BulletParagraph"/>
        <w:numPr>
          <w:ilvl w:val="0"/>
          <w:numId w:val="2"/>
        </w:numPr>
        <w:rPr/>
      </w:pPr>
      <w:r>
        <w:rPr/>
        <w:t>Increased price transparency of these facilities, if they are permitted to develop in the U.S., will assist the CFTC and other authorities in their monitoring of the markets, reducing concerns about manipulation and other potential market abuses.</w:t>
      </w:r>
    </w:p>
    <w:p>
      <w:pPr>
        <w:pStyle w:val="Paragraph"/>
        <w:rPr/>
      </w:pPr>
      <w:r>
        <w:rPr/>
        <w:t xml:space="preserve">To allow the growth of electronic trading platforms without the burden of CFTC regulation and the associated legal uncertainty will promote innovation and competition.  Congress recognizes that commercial market participants are sophisticated and self-interested enough to choose the platforms that provide the best prices with the greatest efficiencies in this new technological age.  The Energy Group is committed to working with Congress to adopt legislation to provide this critical legal certainty for electronic trading facilities in all non-agricultural physical commodities in the United States.  </w:t>
      </w:r>
    </w:p>
    <w:p>
      <w:pPr>
        <w:pStyle w:val="Normal"/>
        <w:rPr/>
      </w:pPr>
      <w:r>
        <w:rPr/>
        <w:tab/>
      </w:r>
    </w:p>
    <w:sectPr>
      <w:headerReference w:type="default" r:id="rId2"/>
      <w:headerReference w:type="first" r:id="rId3"/>
      <w:footerReference w:type="default" r:id="rId4"/>
      <w:footerReference w:type="first" r:id="rId5"/>
      <w:type w:val="nextPage"/>
      <w:pgSz w:w="12240" w:h="15840"/>
      <w:pgMar w:left="1440" w:right="1440" w:gutter="0" w:header="720" w:top="1915" w:footer="720" w:bottom="965"/>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S&amp;C Draft – September 22,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360" w:hanging="288"/>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Courier" w:hAnsi="Courier" w:cs="Courie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b/>
    </w:rPr>
  </w:style>
  <w:style w:type="paragraph" w:styleId="Heading4">
    <w:name w:val="heading 4"/>
    <w:basedOn w:val="Normal"/>
    <w:next w:val="Normal"/>
    <w:qFormat/>
    <w:pPr>
      <w:keepNext w:val="true"/>
      <w:numPr>
        <w:ilvl w:val="3"/>
        <w:numId w:val="1"/>
      </w:numPr>
      <w:spacing w:before="240" w:after="60"/>
      <w:outlineLvl w:val="3"/>
    </w:pPr>
    <w:rPr>
      <w:u w:val="single"/>
    </w:rPr>
  </w:style>
  <w:style w:type="paragraph" w:styleId="Heading5">
    <w:name w:val="heading 5"/>
    <w:basedOn w:val="Normal"/>
    <w:next w:val="Normal"/>
    <w:qFormat/>
    <w:pPr>
      <w:numPr>
        <w:ilvl w:val="4"/>
        <w:numId w:val="1"/>
      </w:numPr>
      <w:spacing w:before="240" w:after="60"/>
      <w:outlineLvl w:val="4"/>
    </w:pPr>
    <w:rPr>
      <w:sz w:val="22"/>
    </w:rPr>
  </w:style>
  <w:style w:type="character" w:styleId="WW8Num1z0">
    <w:name w:val="WW8Num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rFonts w:ascii="Times New Roman" w:hAnsi="Times New Roman" w:cs="Times New Roman"/>
      <w:b/>
      <w:caps/>
      <w:sz w:val="20"/>
    </w:rPr>
  </w:style>
  <w:style w:type="paragraph" w:styleId="TOC2">
    <w:name w:val="toc 2"/>
    <w:basedOn w:val="Normal"/>
    <w:next w:val="Normal"/>
    <w:pPr>
      <w:ind w:hanging="0" w:start="240" w:end="0"/>
    </w:pPr>
    <w:rPr>
      <w:rFonts w:ascii="Times New Roman" w:hAnsi="Times New Roman" w:cs="Times New Roman"/>
      <w:smallCaps/>
      <w:sz w:val="20"/>
    </w:rPr>
  </w:style>
  <w:style w:type="paragraph" w:styleId="TOC3">
    <w:name w:val="toc 3"/>
    <w:basedOn w:val="Normal"/>
    <w:next w:val="Normal"/>
    <w:pPr>
      <w:ind w:hanging="0" w:start="480" w:end="0"/>
    </w:pPr>
    <w:rPr>
      <w:rFonts w:ascii="Times New Roman" w:hAnsi="Times New Roman" w:cs="Times New Roman"/>
      <w:i/>
      <w:sz w:val="20"/>
    </w:rPr>
  </w:style>
  <w:style w:type="paragraph" w:styleId="TOC4">
    <w:name w:val="toc 4"/>
    <w:basedOn w:val="Normal"/>
    <w:next w:val="Normal"/>
    <w:pPr>
      <w:ind w:hanging="0" w:start="720" w:end="0"/>
    </w:pPr>
    <w:rPr>
      <w:rFonts w:ascii="Times New Roman" w:hAnsi="Times New Roman" w:cs="Times New Roman"/>
      <w:sz w:val="18"/>
    </w:rPr>
  </w:style>
  <w:style w:type="paragraph" w:styleId="TOC5">
    <w:name w:val="toc 5"/>
    <w:basedOn w:val="Normal"/>
    <w:next w:val="Normal"/>
    <w:pPr>
      <w:ind w:hanging="0" w:start="960" w:end="0"/>
    </w:pPr>
    <w:rPr>
      <w:rFonts w:ascii="Times New Roman" w:hAnsi="Times New Roman" w:cs="Times New Roman"/>
      <w:sz w:val="18"/>
    </w:rPr>
  </w:style>
  <w:style w:type="paragraph" w:styleId="TOC6">
    <w:name w:val="toc 6"/>
    <w:basedOn w:val="Normal"/>
    <w:next w:val="Normal"/>
    <w:pPr>
      <w:ind w:hanging="0" w:start="1200" w:end="0"/>
    </w:pPr>
    <w:rPr>
      <w:rFonts w:ascii="Times New Roman" w:hAnsi="Times New Roman" w:cs="Times New Roman"/>
      <w:sz w:val="18"/>
    </w:rPr>
  </w:style>
  <w:style w:type="paragraph" w:styleId="TOC7">
    <w:name w:val="toc 7"/>
    <w:basedOn w:val="Normal"/>
    <w:next w:val="Normal"/>
    <w:pPr>
      <w:ind w:hanging="0" w:start="1440" w:end="0"/>
    </w:pPr>
    <w:rPr>
      <w:rFonts w:ascii="Times New Roman" w:hAnsi="Times New Roman" w:cs="Times New Roman"/>
      <w:sz w:val="18"/>
    </w:rPr>
  </w:style>
  <w:style w:type="paragraph" w:styleId="TOC8">
    <w:name w:val="toc 8"/>
    <w:basedOn w:val="Normal"/>
    <w:next w:val="Normal"/>
    <w:pPr>
      <w:ind w:hanging="0" w:start="1680" w:end="0"/>
    </w:pPr>
    <w:rPr>
      <w:rFonts w:ascii="Times New Roman" w:hAnsi="Times New Roman" w:cs="Times New Roman"/>
      <w:sz w:val="18"/>
    </w:rPr>
  </w:style>
  <w:style w:type="paragraph" w:styleId="TOC9">
    <w:name w:val="toc 9"/>
    <w:basedOn w:val="Normal"/>
    <w:next w:val="Normal"/>
    <w:pPr>
      <w:ind w:hanging="0" w:start="1920" w:end="0"/>
    </w:pPr>
    <w:rPr>
      <w:rFonts w:ascii="Times New Roman" w:hAnsi="Times New Roman" w:cs="Times New Roman"/>
      <w:sz w:val="18"/>
    </w:rPr>
  </w:style>
  <w:style w:type="paragraph" w:styleId="FootnoteText">
    <w:name w:val="footnote text"/>
    <w:basedOn w:val="Normal"/>
    <w:pPr>
      <w:spacing w:before="24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Paragraph">
    <w:name w:val="Paragraph"/>
    <w:basedOn w:val="Normal"/>
    <w:qFormat/>
    <w:pPr>
      <w:ind w:firstLine="720" w:start="0" w:end="0"/>
      <w:jc w:val="both"/>
    </w:pPr>
    <w:rPr/>
  </w:style>
  <w:style w:type="paragraph" w:styleId="BulletParagraph">
    <w:name w:val="Bullet Paragraph"/>
    <w:basedOn w:val="Paragraph"/>
    <w:qFormat/>
    <w:pPr>
      <w:numPr>
        <w:ilvl w:val="0"/>
        <w:numId w:val="2"/>
      </w:numPr>
      <w:spacing w:before="0" w:after="120"/>
      <w:ind w:firstLine="720" w:start="1008" w:end="0"/>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2000-09-22T14:39:00Z</dcterms:created>
  <dc:creator>For Help Call PC Support, x 4277</dc:creator>
  <dc:description/>
  <dc:language>en-CA</dc:language>
  <cp:lastModifiedBy>For Help Call PC Support, x 4277</cp:lastModifiedBy>
  <cp:lastPrinted>2000-09-22T13:09:00Z</cp:lastPrinted>
  <dcterms:modified xsi:type="dcterms:W3CDTF">2000-09-22T14:39:00Z</dcterms:modified>
  <cp:revision>2</cp:revision>
  <dc:subject/>
  <dc:title>test</dc:title>
</cp:coreProperties>
</file>