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Sasha Divelbiss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Manoj Gupta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ab/>
        <w:t xml:space="preserve"> </w:t>
        <w:tab/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Manoj Gupta </w:t>
      </w:r>
      <w:r>
        <w:rPr>
          <w:rFonts w:cs="Arial" w:ascii="Arial" w:hAnsi="Arial"/>
        </w:rPr>
        <w:t xml:space="preserve">will be interviewing on </w:t>
      </w:r>
      <w:r>
        <w:rPr>
          <w:rFonts w:cs="Arial" w:ascii="Arial" w:hAnsi="Arial"/>
          <w:b/>
        </w:rPr>
        <w:t>Monday, April 16, 2001.</w:t>
      </w:r>
      <w:r>
        <w:rPr>
          <w:rFonts w:cs="Arial" w:ascii="Arial" w:hAnsi="Arial"/>
          <w:bCs/>
        </w:rPr>
        <w:t xml:space="preserve">  </w:t>
      </w:r>
      <w:r>
        <w:rPr>
          <w:rFonts w:cs="Arial" w:ascii="Arial" w:hAnsi="Arial"/>
        </w:rPr>
        <w:t>If you have any questions regarding the interview schedule or need further assistance, please contact Sasha Divelbiss, ext. 58714,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4925"/>
        <w:gridCol w:w="1440"/>
        <w:gridCol w:w="1457"/>
      </w:tblGrid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8:30AM-9:00AM</w:t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Philip Garza, Scheduler</w:t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/>
            </w:pPr>
            <w:r>
              <w:rPr>
                <w:rFonts w:cs="Arial" w:ascii="Arial" w:hAnsi="Arial"/>
                <w:bCs/>
              </w:rPr>
              <w:t>36</w:t>
            </w:r>
            <w:r>
              <w:rPr>
                <w:rFonts w:cs="Arial" w:ascii="Arial" w:hAnsi="Arial"/>
                <w:bCs/>
                <w:vertAlign w:val="superscript"/>
              </w:rPr>
              <w:t>th</w:t>
            </w:r>
            <w:r>
              <w:rPr>
                <w:rFonts w:cs="Arial" w:ascii="Arial" w:hAnsi="Arial"/>
                <w:bCs/>
              </w:rPr>
              <w:t xml:space="preserve"> Floor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58701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9:00AM-9:30AM</w:t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Naveen Andrews, Director Risk Mgmt Risk Control</w:t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EB2868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33075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9:30AM-10:00AM</w:t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Frank Hayden, Manager Risk Mgmt Risk Control</w:t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EB2868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33075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10:00AM-10:30AM</w:t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Cassandra Schultz, VP Risk Mgmt</w:t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EB2888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33075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10:30AM-11:00AM</w:t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Rudi Zipter, Director Risk Mgmt Risk Control</w:t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EB2897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33075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11:00AM-11:30AM</w:t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Vlady Gorny, Director Risk Mgmt Risk Control</w:t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EB2893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33075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11:30AM-1:15PM</w:t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Bjorn Hagelmann, Director Risk Mgmt Risk Control</w:t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Lunch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33075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1:30PM-2:00PM</w:t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David Port, Sr Director Risk Mgmt Risk Control</w:t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EB2897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33075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2:00PM-2:30PM</w:t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Vince Kaminski, Managing Director Research</w:t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EB2801B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35290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2:30PM-3:00PM</w:t>
            </w:r>
          </w:p>
        </w:tc>
        <w:tc>
          <w:tcPr>
            <w:tcW w:w="492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Stinson Gibner, VP Research</w:t>
            </w:r>
          </w:p>
        </w:tc>
        <w:tc>
          <w:tcPr>
            <w:tcW w:w="14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EB2801B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30329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Tony Vasut as soon as possible.  Thank You.</w:t>
      </w:r>
      <w:r>
        <w:rPr>
          <w:rFonts w:cs="Arial" w:ascii="Arial" w:hAnsi="Arial"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Naveen Andrews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Frank Hayden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Cassandra Schultz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Rudi Zipter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Vlady Gorny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Bjorn Hagelmann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David Port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Vince Kaminski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Stinson Gibner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CC: </w:t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Tony Vasut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Judey Napoli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Ambroshia Hunter-Perry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Rita Hennessy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Araceli Romero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Shirley Crenshaw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Anita Dupont</w:t>
      </w:r>
    </w:p>
    <w:p>
      <w:pPr>
        <w:pStyle w:val="Normal"/>
        <w:ind w:firstLine="720" w:end="0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956314408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2001-04-12T13:31:00Z</dcterms:created>
  <dc:creator>evillarr</dc:creator>
  <dc:description/>
  <dc:language>en-CA</dc:language>
  <cp:lastModifiedBy>sdivelbiss</cp:lastModifiedBy>
  <cp:lastPrinted>2001-04-12T11:01:00Z</cp:lastPrinted>
  <dcterms:modified xsi:type="dcterms:W3CDTF">2001-04-12T13:34:00Z</dcterms:modified>
  <cp:revision>4</cp:revision>
  <dc:subject/>
  <dc:title>To:</dc:title>
</cp:coreProperties>
</file>